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center"/>
        <w:rPr>
          <w:rFonts w:hint="eastAsia" w:ascii="宋体" w:hAnsi="宋体" w:cs="宋体"/>
          <w:kern w:val="0"/>
          <w:sz w:val="44"/>
          <w:szCs w:val="44"/>
        </w:rPr>
      </w:pPr>
    </w:p>
    <w:p>
      <w:pPr>
        <w:widowControl/>
        <w:spacing w:before="100" w:beforeAutospacing="1" w:after="100" w:afterAutospacing="1" w:line="520" w:lineRule="exact"/>
        <w:jc w:val="center"/>
        <w:rPr>
          <w:rFonts w:hint="eastAsia" w:ascii="宋体" w:hAnsi="宋体" w:cs="宋体"/>
          <w:kern w:val="0"/>
          <w:sz w:val="44"/>
          <w:szCs w:val="44"/>
        </w:rPr>
      </w:pPr>
      <w:r>
        <w:rPr>
          <w:rFonts w:hint="eastAsia" w:ascii="宋体" w:hAnsi="宋体" w:cs="宋体"/>
          <w:kern w:val="0"/>
          <w:sz w:val="44"/>
          <w:szCs w:val="44"/>
        </w:rPr>
        <w:t>湖北省审计厅</w:t>
      </w:r>
      <w:r>
        <w:rPr>
          <w:rFonts w:ascii="宋体" w:hAnsi="宋体" w:cs="宋体"/>
          <w:kern w:val="0"/>
          <w:sz w:val="44"/>
          <w:szCs w:val="44"/>
        </w:rPr>
        <w:t>201</w:t>
      </w:r>
      <w:r>
        <w:rPr>
          <w:rFonts w:hint="eastAsia" w:ascii="宋体" w:hAnsi="宋体" w:cs="宋体"/>
          <w:kern w:val="0"/>
          <w:sz w:val="44"/>
          <w:szCs w:val="44"/>
          <w:lang w:val="en-US" w:eastAsia="zh-CN"/>
        </w:rPr>
        <w:t>6</w:t>
      </w:r>
      <w:r>
        <w:rPr>
          <w:rFonts w:ascii="宋体" w:hAnsi="宋体" w:cs="宋体"/>
          <w:kern w:val="0"/>
          <w:sz w:val="44"/>
          <w:szCs w:val="44"/>
        </w:rPr>
        <w:t>年</w:t>
      </w:r>
      <w:r>
        <w:rPr>
          <w:rFonts w:hint="eastAsia" w:ascii="宋体" w:hAnsi="宋体" w:cs="宋体"/>
          <w:kern w:val="0"/>
          <w:sz w:val="44"/>
          <w:szCs w:val="44"/>
        </w:rPr>
        <w:t>度部门决算情况说明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eastAsia="黑体"/>
          <w:snapToGrid w:val="0"/>
          <w:kern w:val="0"/>
          <w:szCs w:val="32"/>
        </w:rPr>
      </w:pPr>
      <w:r>
        <w:rPr>
          <w:rFonts w:hint="eastAsia" w:ascii="黑体" w:eastAsia="黑体"/>
          <w:snapToGrid w:val="0"/>
          <w:kern w:val="0"/>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Cs w:val="32"/>
        </w:rPr>
      </w:pPr>
      <w:r>
        <w:rPr>
          <w:rFonts w:hint="eastAsia" w:ascii="仿宋_GB2312" w:eastAsia="仿宋_GB2312"/>
          <w:szCs w:val="32"/>
        </w:rPr>
        <w:t>湖北省审计厅是主管全省审计工作的省人民政府组成部门，厅机关设办公室、综合处、法规处、财政审计处、金融审计处、行政事业审计处、经贸审计处、农业与资源环保审计处、社会保障审计处、固定资产投资审计处、外资运用审计处、人事处等12个职能处室，另设有10个派出审计处、1个经济责任审计局、5个事业单位（厅机关后勤服务中心、厅计算机审计中心、省企事业单位内部审计指导中心、省审计科研所、省审计干部培训中心）。除省审计干部培训中心独立核算外，其他事业单位纳入省审计厅机关统一核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eastAsia="黑体"/>
          <w:snapToGrid w:val="0"/>
          <w:kern w:val="0"/>
          <w:szCs w:val="32"/>
        </w:rPr>
      </w:pPr>
      <w:r>
        <w:rPr>
          <w:rFonts w:hint="eastAsia" w:ascii="黑体" w:eastAsia="黑体"/>
          <w:snapToGrid w:val="0"/>
          <w:kern w:val="0"/>
          <w:szCs w:val="32"/>
        </w:rPr>
        <w:t>二、决算收入及支出总体情况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Cs w:val="32"/>
        </w:rPr>
        <w:t>根据《</w:t>
      </w:r>
      <w:bookmarkStart w:id="0" w:name="OLE_LINK1"/>
      <w:r>
        <w:rPr>
          <w:rFonts w:hint="eastAsia" w:ascii="仿宋_GB2312" w:hAnsi="宋体" w:eastAsia="仿宋_GB2312" w:cs="宋体"/>
          <w:bCs/>
          <w:color w:val="000000"/>
          <w:kern w:val="0"/>
          <w:szCs w:val="32"/>
        </w:rPr>
        <w:t>省财政厅关于批复</w:t>
      </w:r>
      <w:bookmarkEnd w:id="0"/>
      <w:r>
        <w:rPr>
          <w:rFonts w:hint="eastAsia" w:ascii="仿宋_GB2312" w:hAnsi="宋体" w:eastAsia="仿宋_GB2312" w:cs="宋体"/>
          <w:bCs/>
          <w:color w:val="000000"/>
          <w:kern w:val="0"/>
          <w:szCs w:val="32"/>
        </w:rPr>
        <w:t>201</w:t>
      </w:r>
      <w:r>
        <w:rPr>
          <w:rFonts w:hint="eastAsia" w:ascii="仿宋_GB2312" w:hAnsi="宋体" w:eastAsia="仿宋_GB2312" w:cs="宋体"/>
          <w:bCs/>
          <w:color w:val="000000"/>
          <w:kern w:val="0"/>
          <w:szCs w:val="32"/>
          <w:lang w:val="en-US" w:eastAsia="zh-CN"/>
        </w:rPr>
        <w:t>6</w:t>
      </w:r>
      <w:r>
        <w:rPr>
          <w:rFonts w:hint="eastAsia" w:ascii="仿宋_GB2312" w:hAnsi="宋体" w:eastAsia="仿宋_GB2312" w:cs="宋体"/>
          <w:bCs/>
          <w:color w:val="000000"/>
          <w:kern w:val="0"/>
          <w:szCs w:val="32"/>
        </w:rPr>
        <w:t>年度部门决算的通知》（</w:t>
      </w:r>
      <w:r>
        <w:rPr>
          <w:rFonts w:hint="eastAsia" w:ascii="仿宋_GB2312" w:eastAsia="仿宋_GB2312" w:cs="宋体"/>
          <w:color w:val="000000"/>
          <w:kern w:val="0"/>
          <w:szCs w:val="32"/>
        </w:rPr>
        <w:t>鄂财行一发〔</w:t>
      </w:r>
      <w:r>
        <w:rPr>
          <w:rFonts w:hint="eastAsia" w:ascii="仿宋_GB2312" w:eastAsia="仿宋_GB2312"/>
          <w:color w:val="000000"/>
          <w:kern w:val="0"/>
          <w:szCs w:val="32"/>
        </w:rPr>
        <w:t>201</w:t>
      </w:r>
      <w:r>
        <w:rPr>
          <w:rFonts w:hint="eastAsia" w:ascii="仿宋_GB2312" w:eastAsia="仿宋_GB2312"/>
          <w:color w:val="000000"/>
          <w:kern w:val="0"/>
          <w:szCs w:val="32"/>
          <w:lang w:val="en-US" w:eastAsia="zh-CN"/>
        </w:rPr>
        <w:t>7</w:t>
      </w:r>
      <w:r>
        <w:rPr>
          <w:rFonts w:hint="eastAsia" w:ascii="仿宋_GB2312" w:eastAsia="仿宋_GB2312" w:cs="宋体"/>
          <w:color w:val="000000"/>
          <w:kern w:val="0"/>
          <w:szCs w:val="32"/>
        </w:rPr>
        <w:t>〕</w:t>
      </w:r>
      <w:r>
        <w:rPr>
          <w:rFonts w:hint="eastAsia" w:ascii="仿宋_GB2312" w:eastAsia="仿宋_GB2312"/>
          <w:color w:val="000000"/>
          <w:kern w:val="0"/>
          <w:szCs w:val="32"/>
          <w:lang w:val="en-US" w:eastAsia="zh-CN"/>
        </w:rPr>
        <w:t>3</w:t>
      </w:r>
      <w:r>
        <w:rPr>
          <w:rFonts w:hint="eastAsia" w:ascii="仿宋_GB2312" w:eastAsia="仿宋_GB2312"/>
          <w:color w:val="000000"/>
          <w:kern w:val="0"/>
          <w:szCs w:val="32"/>
        </w:rPr>
        <w:t>8</w:t>
      </w:r>
      <w:r>
        <w:rPr>
          <w:rFonts w:hint="eastAsia" w:ascii="仿宋_GB2312" w:eastAsia="仿宋_GB2312" w:cs="宋体"/>
          <w:color w:val="000000"/>
          <w:kern w:val="0"/>
          <w:szCs w:val="32"/>
        </w:rPr>
        <w:t>号</w:t>
      </w:r>
      <w:r>
        <w:rPr>
          <w:rFonts w:hint="eastAsia" w:ascii="仿宋_GB2312" w:hAnsi="宋体" w:eastAsia="仿宋_GB2312" w:cs="宋体"/>
          <w:bCs/>
          <w:color w:val="000000"/>
          <w:kern w:val="0"/>
          <w:szCs w:val="32"/>
        </w:rPr>
        <w:t>）规定</w:t>
      </w:r>
      <w:r>
        <w:rPr>
          <w:rFonts w:hint="eastAsia" w:ascii="仿宋_GB2312" w:hAnsi="宋体" w:eastAsia="仿宋_GB2312" w:cs="宋体"/>
          <w:bCs/>
          <w:color w:val="000000"/>
          <w:kern w:val="0"/>
          <w:sz w:val="36"/>
          <w:szCs w:val="36"/>
        </w:rPr>
        <w:t>，</w:t>
      </w:r>
      <w:r>
        <w:rPr>
          <w:rFonts w:hint="eastAsia" w:ascii="仿宋_GB2312" w:hAnsi="宋体" w:eastAsia="仿宋_GB2312" w:cs="宋体"/>
          <w:bCs/>
          <w:color w:val="000000"/>
          <w:kern w:val="0"/>
          <w:szCs w:val="32"/>
        </w:rPr>
        <w:t>省财政厅批复</w:t>
      </w:r>
      <w:r>
        <w:rPr>
          <w:rFonts w:hint="eastAsia" w:ascii="仿宋_GB2312" w:eastAsia="仿宋_GB2312"/>
          <w:snapToGrid w:val="0"/>
          <w:kern w:val="0"/>
          <w:szCs w:val="32"/>
        </w:rPr>
        <w:t>省审计厅201</w:t>
      </w:r>
      <w:r>
        <w:rPr>
          <w:rFonts w:hint="eastAsia" w:ascii="仿宋_GB2312" w:eastAsia="仿宋_GB2312"/>
          <w:snapToGrid w:val="0"/>
          <w:kern w:val="0"/>
          <w:szCs w:val="32"/>
          <w:lang w:val="en-US" w:eastAsia="zh-CN"/>
        </w:rPr>
        <w:t>6</w:t>
      </w:r>
      <w:r>
        <w:rPr>
          <w:rFonts w:hint="eastAsia" w:ascii="仿宋_GB2312" w:eastAsia="仿宋_GB2312"/>
          <w:snapToGrid w:val="0"/>
          <w:kern w:val="0"/>
          <w:szCs w:val="32"/>
        </w:rPr>
        <w:t>年度决算收入合计</w:t>
      </w:r>
      <w:r>
        <w:rPr>
          <w:rFonts w:hint="eastAsia" w:ascii="仿宋_GB2312" w:eastAsia="仿宋_GB2312"/>
          <w:snapToGrid w:val="0"/>
          <w:kern w:val="0"/>
          <w:szCs w:val="32"/>
          <w:lang w:val="en-US" w:eastAsia="zh-CN"/>
        </w:rPr>
        <w:t>15 713.29万</w:t>
      </w:r>
      <w:r>
        <w:rPr>
          <w:rFonts w:hint="eastAsia" w:ascii="仿宋_GB2312" w:eastAsia="仿宋_GB2312"/>
          <w:snapToGrid w:val="0"/>
          <w:kern w:val="0"/>
          <w:szCs w:val="32"/>
        </w:rPr>
        <w:t>元，其中:财政拨款收入</w:t>
      </w:r>
      <w:r>
        <w:rPr>
          <w:rFonts w:hint="eastAsia" w:ascii="仿宋_GB2312" w:eastAsia="仿宋_GB2312"/>
          <w:snapToGrid w:val="0"/>
          <w:kern w:val="0"/>
          <w:szCs w:val="32"/>
          <w:lang w:val="en-US" w:eastAsia="zh-CN"/>
        </w:rPr>
        <w:t>15 617.01万</w:t>
      </w:r>
      <w:r>
        <w:rPr>
          <w:rFonts w:hint="eastAsia" w:ascii="仿宋_GB2312" w:eastAsia="仿宋_GB2312"/>
          <w:snapToGrid w:val="0"/>
          <w:kern w:val="0"/>
          <w:szCs w:val="32"/>
        </w:rPr>
        <w:t>元，其他收入</w:t>
      </w:r>
      <w:r>
        <w:rPr>
          <w:rFonts w:hint="eastAsia" w:ascii="仿宋_GB2312" w:eastAsia="仿宋_GB2312"/>
          <w:snapToGrid w:val="0"/>
          <w:kern w:val="0"/>
          <w:szCs w:val="32"/>
          <w:lang w:val="en-US" w:eastAsia="zh-CN"/>
        </w:rPr>
        <w:t>8.53万</w:t>
      </w:r>
      <w:r>
        <w:rPr>
          <w:rFonts w:hint="eastAsia" w:ascii="仿宋_GB2312" w:eastAsia="仿宋_GB2312"/>
          <w:snapToGrid w:val="0"/>
          <w:kern w:val="0"/>
          <w:szCs w:val="32"/>
        </w:rPr>
        <w:t>元</w:t>
      </w:r>
      <w:r>
        <w:rPr>
          <w:rFonts w:hint="eastAsia" w:ascii="仿宋_GB2312" w:eastAsia="仿宋_GB2312"/>
          <w:snapToGrid w:val="0"/>
          <w:kern w:val="0"/>
          <w:szCs w:val="32"/>
          <w:lang w:eastAsia="zh-CN"/>
        </w:rPr>
        <w:t>，事业基金弥补收支差额</w:t>
      </w:r>
      <w:r>
        <w:rPr>
          <w:rFonts w:hint="eastAsia" w:ascii="仿宋_GB2312" w:eastAsia="仿宋_GB2312"/>
          <w:snapToGrid w:val="0"/>
          <w:kern w:val="0"/>
          <w:szCs w:val="32"/>
          <w:lang w:val="en-US" w:eastAsia="zh-CN"/>
        </w:rPr>
        <w:t>87.65万元,年初结转和结余0.10万元</w:t>
      </w:r>
      <w:r>
        <w:rPr>
          <w:rFonts w:hint="eastAsia" w:ascii="仿宋_GB2312" w:eastAsia="仿宋_GB2312"/>
          <w:snapToGrid w:val="0"/>
          <w:kern w:val="0"/>
          <w:szCs w:val="32"/>
        </w:rPr>
        <w:t>；201</w:t>
      </w:r>
      <w:r>
        <w:rPr>
          <w:rFonts w:hint="eastAsia" w:ascii="仿宋_GB2312" w:eastAsia="仿宋_GB2312"/>
          <w:snapToGrid w:val="0"/>
          <w:kern w:val="0"/>
          <w:szCs w:val="32"/>
          <w:lang w:val="en-US" w:eastAsia="zh-CN"/>
        </w:rPr>
        <w:t>6</w:t>
      </w:r>
      <w:r>
        <w:rPr>
          <w:rFonts w:hint="eastAsia" w:ascii="仿宋_GB2312" w:eastAsia="仿宋_GB2312"/>
          <w:snapToGrid w:val="0"/>
          <w:kern w:val="0"/>
          <w:szCs w:val="32"/>
        </w:rPr>
        <w:t>年全厅决算支出合计</w:t>
      </w:r>
      <w:r>
        <w:rPr>
          <w:rFonts w:hint="eastAsia" w:ascii="仿宋_GB2312" w:eastAsia="仿宋_GB2312"/>
          <w:snapToGrid w:val="0"/>
          <w:kern w:val="0"/>
          <w:szCs w:val="32"/>
          <w:lang w:val="en-US" w:eastAsia="zh-CN"/>
        </w:rPr>
        <w:t>15 000.96万</w:t>
      </w:r>
      <w:r>
        <w:rPr>
          <w:rFonts w:hint="eastAsia" w:ascii="仿宋_GB2312" w:eastAsia="仿宋_GB2312"/>
          <w:snapToGrid w:val="0"/>
          <w:kern w:val="0"/>
          <w:szCs w:val="32"/>
        </w:rPr>
        <w:t>元，其中：一般公共服务支出</w:t>
      </w:r>
      <w:r>
        <w:rPr>
          <w:rFonts w:hint="eastAsia" w:ascii="仿宋_GB2312" w:eastAsia="仿宋_GB2312"/>
          <w:snapToGrid w:val="0"/>
          <w:kern w:val="0"/>
          <w:szCs w:val="32"/>
          <w:lang w:val="en-US" w:eastAsia="zh-CN"/>
        </w:rPr>
        <w:t xml:space="preserve">   </w:t>
      </w:r>
      <w:r>
        <w:rPr>
          <w:rFonts w:hint="eastAsia" w:ascii="仿宋_GB2312" w:eastAsia="仿宋_GB2312"/>
          <w:szCs w:val="32"/>
          <w:lang w:val="en-US" w:eastAsia="zh-CN"/>
        </w:rPr>
        <w:t>13 236.36万</w:t>
      </w:r>
      <w:r>
        <w:rPr>
          <w:rFonts w:hint="eastAsia" w:ascii="仿宋_GB2312" w:eastAsia="仿宋_GB2312"/>
          <w:szCs w:val="32"/>
        </w:rPr>
        <w:t>元，主要</w:t>
      </w:r>
      <w:r>
        <w:rPr>
          <w:rFonts w:hint="eastAsia" w:ascii="仿宋_GB2312" w:eastAsia="仿宋_GB2312"/>
          <w:snapToGrid w:val="0"/>
          <w:kern w:val="0"/>
          <w:szCs w:val="32"/>
        </w:rPr>
        <w:t>用于保障机关及所属单位正常运转、开展审计业务、审计管理、</w:t>
      </w:r>
      <w:r>
        <w:rPr>
          <w:rFonts w:hint="eastAsia" w:ascii="仿宋_GB2312" w:eastAsia="仿宋_GB2312"/>
          <w:snapToGrid w:val="0"/>
          <w:kern w:val="0"/>
          <w:szCs w:val="32"/>
          <w:lang w:eastAsia="zh-CN"/>
        </w:rPr>
        <w:t>审计培训、</w:t>
      </w:r>
      <w:r>
        <w:rPr>
          <w:rFonts w:hint="eastAsia" w:ascii="仿宋_GB2312" w:eastAsia="仿宋_GB2312"/>
          <w:snapToGrid w:val="0"/>
          <w:kern w:val="0"/>
          <w:szCs w:val="32"/>
        </w:rPr>
        <w:t>审计信息化建设</w:t>
      </w:r>
      <w:r>
        <w:rPr>
          <w:rFonts w:hint="eastAsia" w:ascii="仿宋_GB2312" w:eastAsia="仿宋_GB2312"/>
          <w:snapToGrid w:val="0"/>
          <w:kern w:val="0"/>
          <w:szCs w:val="32"/>
          <w:lang w:eastAsia="zh-CN"/>
        </w:rPr>
        <w:t>及</w:t>
      </w:r>
      <w:r>
        <w:rPr>
          <w:rFonts w:hint="eastAsia" w:ascii="仿宋_GB2312" w:eastAsia="仿宋_GB2312"/>
          <w:snapToGrid w:val="0"/>
          <w:kern w:val="0"/>
          <w:szCs w:val="32"/>
        </w:rPr>
        <w:t>全省行业审计项目等支出。社会保障和就业支出</w:t>
      </w:r>
      <w:r>
        <w:rPr>
          <w:rFonts w:hint="eastAsia" w:ascii="仿宋_GB2312" w:eastAsia="仿宋_GB2312"/>
          <w:szCs w:val="32"/>
          <w:lang w:val="en-US" w:eastAsia="zh-CN"/>
        </w:rPr>
        <w:t>1 410.45万</w:t>
      </w:r>
      <w:r>
        <w:rPr>
          <w:rFonts w:hint="eastAsia" w:ascii="仿宋_GB2312" w:eastAsia="仿宋_GB2312"/>
          <w:szCs w:val="32"/>
        </w:rPr>
        <w:t>元，主</w:t>
      </w:r>
      <w:r>
        <w:rPr>
          <w:rFonts w:hint="eastAsia" w:ascii="仿宋_GB2312" w:eastAsia="仿宋_GB2312"/>
          <w:snapToGrid w:val="0"/>
          <w:kern w:val="0"/>
          <w:szCs w:val="32"/>
        </w:rPr>
        <w:t>要用于机关及所属单位的离退休人员经费支出。医疗卫生</w:t>
      </w:r>
      <w:r>
        <w:rPr>
          <w:rFonts w:hint="eastAsia" w:ascii="仿宋_GB2312" w:eastAsia="仿宋_GB2312"/>
          <w:snapToGrid w:val="0"/>
          <w:kern w:val="0"/>
          <w:szCs w:val="32"/>
          <w:lang w:eastAsia="zh-CN"/>
        </w:rPr>
        <w:t>与计划生育</w:t>
      </w:r>
      <w:r>
        <w:rPr>
          <w:rFonts w:hint="eastAsia" w:ascii="仿宋_GB2312" w:eastAsia="仿宋_GB2312"/>
          <w:snapToGrid w:val="0"/>
          <w:kern w:val="0"/>
          <w:szCs w:val="32"/>
        </w:rPr>
        <w:t>支出</w:t>
      </w:r>
      <w:r>
        <w:rPr>
          <w:rFonts w:hint="eastAsia" w:ascii="仿宋_GB2312" w:eastAsia="仿宋_GB2312"/>
          <w:szCs w:val="32"/>
          <w:lang w:val="en-US" w:eastAsia="zh-CN"/>
        </w:rPr>
        <w:t>338.99</w:t>
      </w:r>
      <w:r>
        <w:rPr>
          <w:rFonts w:hint="eastAsia" w:ascii="仿宋_GB2312" w:eastAsia="仿宋_GB2312"/>
          <w:snapToGrid w:val="0"/>
          <w:kern w:val="0"/>
          <w:szCs w:val="32"/>
        </w:rPr>
        <w:t>元，主要用于机关及所属单位在职及离退休人员医疗费支出。</w:t>
      </w:r>
      <w:r>
        <w:rPr>
          <w:rFonts w:hint="eastAsia" w:ascii="仿宋_GB2312" w:eastAsia="仿宋_GB2312"/>
          <w:snapToGrid w:val="0"/>
          <w:kern w:val="0"/>
          <w:szCs w:val="32"/>
          <w:lang w:eastAsia="zh-CN"/>
        </w:rPr>
        <w:t>住房保障</w:t>
      </w:r>
      <w:r>
        <w:rPr>
          <w:rFonts w:hint="eastAsia" w:ascii="仿宋_GB2312" w:eastAsia="仿宋_GB2312"/>
          <w:snapToGrid w:val="0"/>
          <w:kern w:val="0"/>
          <w:szCs w:val="32"/>
        </w:rPr>
        <w:t>支出</w:t>
      </w:r>
      <w:r>
        <w:rPr>
          <w:rFonts w:hint="eastAsia" w:ascii="仿宋_GB2312" w:eastAsia="仿宋_GB2312"/>
          <w:snapToGrid w:val="0"/>
          <w:kern w:val="0"/>
          <w:szCs w:val="32"/>
          <w:lang w:val="en-US" w:eastAsia="zh-CN"/>
        </w:rPr>
        <w:t>15.15万</w:t>
      </w:r>
      <w:r>
        <w:rPr>
          <w:rFonts w:hint="eastAsia" w:ascii="仿宋_GB2312" w:eastAsia="仿宋_GB2312"/>
          <w:snapToGrid w:val="0"/>
          <w:kern w:val="0"/>
          <w:szCs w:val="32"/>
        </w:rPr>
        <w:t>元，主要用于机关职工住房分配货币化补贴</w:t>
      </w:r>
      <w:r>
        <w:rPr>
          <w:rFonts w:hint="eastAsia" w:ascii="仿宋_GB2312" w:eastAsia="仿宋_GB2312"/>
          <w:snapToGrid w:val="0"/>
          <w:kern w:val="0"/>
          <w:szCs w:val="32"/>
          <w:lang w:eastAsia="zh-CN"/>
        </w:rPr>
        <w:t>支出</w:t>
      </w:r>
      <w:r>
        <w:rPr>
          <w:rFonts w:hint="eastAsia" w:ascii="仿宋_GB2312" w:eastAsia="仿宋_GB2312"/>
          <w:snapToGrid w:val="0"/>
          <w:kern w:val="0"/>
          <w:szCs w:val="32"/>
        </w:rPr>
        <w:t>；</w:t>
      </w:r>
      <w:r>
        <w:rPr>
          <w:rFonts w:hint="eastAsia" w:ascii="仿宋_GB2312" w:eastAsia="仿宋_GB2312"/>
          <w:snapToGrid w:val="0"/>
          <w:kern w:val="0"/>
          <w:szCs w:val="32"/>
          <w:lang w:eastAsia="zh-CN"/>
        </w:rPr>
        <w:t>年末结转和</w:t>
      </w:r>
      <w:r>
        <w:rPr>
          <w:rFonts w:hint="eastAsia" w:ascii="仿宋_GB2312" w:eastAsia="仿宋_GB2312"/>
          <w:snapToGrid w:val="0"/>
          <w:kern w:val="0"/>
          <w:szCs w:val="32"/>
        </w:rPr>
        <w:t>结余</w:t>
      </w:r>
      <w:r>
        <w:rPr>
          <w:rFonts w:hint="eastAsia" w:ascii="仿宋_GB2312" w:eastAsia="仿宋_GB2312"/>
          <w:snapToGrid w:val="0"/>
          <w:kern w:val="0"/>
          <w:szCs w:val="32"/>
          <w:lang w:val="en-US" w:eastAsia="zh-CN"/>
        </w:rPr>
        <w:t>712.33万</w:t>
      </w:r>
      <w:r>
        <w:rPr>
          <w:rFonts w:hint="eastAsia" w:ascii="仿宋_GB2312" w:eastAsia="仿宋_GB2312"/>
          <w:snapToGrid w:val="0"/>
          <w:kern w:val="0"/>
          <w:szCs w:val="32"/>
        </w:rPr>
        <w:t>元，主要是</w:t>
      </w:r>
      <w:r>
        <w:rPr>
          <w:rFonts w:hint="eastAsia" w:ascii="仿宋_GB2312" w:eastAsia="仿宋_GB2312"/>
          <w:sz w:val="32"/>
          <w:szCs w:val="32"/>
        </w:rPr>
        <w:t>：</w:t>
      </w:r>
      <w:r>
        <w:rPr>
          <w:rFonts w:hint="eastAsia" w:ascii="仿宋_GB2312" w:eastAsia="仿宋_GB2312"/>
          <w:snapToGrid w:val="0"/>
          <w:kern w:val="0"/>
          <w:szCs w:val="32"/>
        </w:rPr>
        <w:t>省审计厅</w:t>
      </w:r>
      <w:r>
        <w:rPr>
          <w:rFonts w:hint="eastAsia" w:ascii="仿宋_GB2312" w:eastAsia="仿宋_GB2312"/>
          <w:sz w:val="32"/>
          <w:szCs w:val="32"/>
        </w:rPr>
        <w:t>跨年</w:t>
      </w:r>
      <w:r>
        <w:rPr>
          <w:rFonts w:hint="eastAsia" w:ascii="仿宋_GB2312" w:eastAsia="仿宋_GB2312"/>
          <w:snapToGrid w:val="0"/>
          <w:kern w:val="0"/>
          <w:szCs w:val="32"/>
        </w:rPr>
        <w:t>度支付的“金审工程”三期建设费，</w:t>
      </w:r>
      <w:r>
        <w:rPr>
          <w:rFonts w:hint="eastAsia" w:ascii="仿宋_GB2312" w:eastAsia="仿宋_GB2312"/>
          <w:sz w:val="32"/>
          <w:szCs w:val="32"/>
        </w:rPr>
        <w:t>此结转经费将于2017年支付完毕。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color w:val="auto"/>
          <w:spacing w:val="0"/>
          <w:position w:val="0"/>
          <w:sz w:val="32"/>
          <w:shd w:val="clear" w:fill="auto"/>
          <w:lang w:val="en-US" w:eastAsia="zh-CN"/>
        </w:rPr>
      </w:pPr>
      <w:r>
        <w:rPr>
          <w:rFonts w:hint="eastAsia" w:ascii="黑体" w:hAnsi="黑体" w:eastAsia="黑体" w:cs="黑体"/>
          <w:color w:val="auto"/>
          <w:spacing w:val="0"/>
          <w:position w:val="0"/>
          <w:sz w:val="32"/>
          <w:shd w:val="clear" w:fill="auto"/>
          <w:lang w:val="en-US" w:eastAsia="zh-CN"/>
        </w:rPr>
        <w:t>决算收支增减变化说明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w:t>
      </w:r>
      <w:r>
        <w:rPr>
          <w:rFonts w:hint="eastAsia" w:ascii="仿宋_GB2312" w:eastAsia="仿宋_GB2312"/>
          <w:sz w:val="32"/>
          <w:szCs w:val="32"/>
          <w:lang w:val="en-US" w:eastAsia="zh-CN"/>
        </w:rPr>
        <w:t>决算</w:t>
      </w:r>
      <w:r>
        <w:rPr>
          <w:rFonts w:hint="eastAsia" w:ascii="仿宋_GB2312" w:eastAsia="仿宋_GB2312"/>
          <w:sz w:val="32"/>
          <w:szCs w:val="32"/>
        </w:rPr>
        <w:t>收支分布情况。审计厅</w:t>
      </w:r>
      <w:r>
        <w:rPr>
          <w:rFonts w:hint="eastAsia" w:ascii="仿宋_GB2312" w:eastAsia="仿宋_GB2312"/>
          <w:sz w:val="32"/>
          <w:szCs w:val="32"/>
          <w:lang w:eastAsia="zh-CN"/>
        </w:rPr>
        <w:t>决算</w:t>
      </w:r>
      <w:r>
        <w:rPr>
          <w:rFonts w:hint="eastAsia" w:ascii="仿宋_GB2312" w:eastAsia="仿宋_GB2312"/>
          <w:sz w:val="32"/>
          <w:szCs w:val="32"/>
        </w:rPr>
        <w:t>除审计干部培训中心为独立核算单位外，其他事业单位经费均由厅机关统一核算。全厅2016年支出合计</w:t>
      </w:r>
      <w:r>
        <w:rPr>
          <w:rFonts w:ascii="仿宋_GB2312" w:eastAsia="仿宋_GB2312"/>
          <w:sz w:val="32"/>
          <w:szCs w:val="32"/>
        </w:rPr>
        <w:t>15</w:t>
      </w:r>
      <w:r>
        <w:rPr>
          <w:rFonts w:hint="eastAsia" w:ascii="仿宋_GB2312" w:eastAsia="仿宋_GB2312"/>
          <w:sz w:val="32"/>
          <w:szCs w:val="32"/>
          <w:lang w:val="en-US" w:eastAsia="zh-CN"/>
        </w:rPr>
        <w:t xml:space="preserve"> </w:t>
      </w:r>
      <w:r>
        <w:rPr>
          <w:rFonts w:ascii="仿宋_GB2312" w:eastAsia="仿宋_GB2312"/>
          <w:sz w:val="32"/>
          <w:szCs w:val="32"/>
        </w:rPr>
        <w:t>00</w:t>
      </w:r>
      <w:r>
        <w:rPr>
          <w:rFonts w:hint="eastAsia" w:ascii="仿宋_GB2312" w:eastAsia="仿宋_GB2312"/>
          <w:sz w:val="32"/>
          <w:szCs w:val="32"/>
          <w:lang w:val="en-US" w:eastAsia="zh-CN"/>
        </w:rPr>
        <w:t>0.96</w:t>
      </w:r>
      <w:r>
        <w:rPr>
          <w:rFonts w:hint="eastAsia" w:ascii="仿宋_GB2312" w:eastAsia="仿宋_GB2312"/>
          <w:sz w:val="32"/>
          <w:szCs w:val="32"/>
        </w:rPr>
        <w:t>万元，其中：厅机关支出14</w:t>
      </w:r>
      <w:r>
        <w:rPr>
          <w:rFonts w:hint="eastAsia" w:ascii="仿宋_GB2312" w:eastAsia="仿宋_GB2312"/>
          <w:sz w:val="32"/>
          <w:szCs w:val="32"/>
          <w:lang w:val="en-US" w:eastAsia="zh-CN"/>
        </w:rPr>
        <w:t xml:space="preserve"> </w:t>
      </w:r>
      <w:r>
        <w:rPr>
          <w:rFonts w:hint="eastAsia" w:ascii="仿宋_GB2312" w:eastAsia="仿宋_GB2312"/>
          <w:sz w:val="32"/>
          <w:szCs w:val="32"/>
        </w:rPr>
        <w:t>462.66万元，占支出总额的96.4%</w:t>
      </w:r>
      <w:r>
        <w:rPr>
          <w:rFonts w:hint="eastAsia" w:ascii="仿宋_GB2312" w:hAnsi="仿宋" w:eastAsia="仿宋_GB2312"/>
          <w:b/>
          <w:sz w:val="32"/>
          <w:szCs w:val="32"/>
        </w:rPr>
        <w:t>．</w:t>
      </w:r>
      <w:r>
        <w:rPr>
          <w:rFonts w:hint="eastAsia" w:ascii="仿宋_GB2312" w:eastAsia="仿宋_GB2312"/>
          <w:sz w:val="32"/>
          <w:szCs w:val="32"/>
        </w:rPr>
        <w:t>审计干部培训中心支出538.30万元，占支出总额的0.6%</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w:t>
      </w:r>
      <w:r>
        <w:rPr>
          <w:rFonts w:hint="eastAsia" w:ascii="仿宋_GB2312" w:eastAsia="仿宋_GB2312"/>
          <w:sz w:val="32"/>
          <w:szCs w:val="32"/>
          <w:lang w:eastAsia="zh-CN"/>
        </w:rPr>
        <w:t>决算</w:t>
      </w:r>
      <w:r>
        <w:rPr>
          <w:rFonts w:hint="eastAsia" w:ascii="仿宋_GB2312" w:eastAsia="仿宋_GB2312"/>
          <w:sz w:val="32"/>
          <w:szCs w:val="32"/>
        </w:rPr>
        <w:t>收支安排</w:t>
      </w:r>
      <w:r>
        <w:rPr>
          <w:rFonts w:hint="eastAsia" w:ascii="仿宋_GB2312" w:eastAsia="仿宋_GB2312"/>
          <w:sz w:val="32"/>
          <w:szCs w:val="32"/>
          <w:lang w:eastAsia="zh-CN"/>
        </w:rPr>
        <w:t>与上年</w:t>
      </w:r>
      <w:r>
        <w:rPr>
          <w:rFonts w:hint="eastAsia" w:ascii="仿宋_GB2312" w:eastAsia="仿宋_GB2312"/>
          <w:sz w:val="32"/>
          <w:szCs w:val="32"/>
          <w:lang w:val="en-US" w:eastAsia="zh-CN"/>
        </w:rPr>
        <w:t>变化</w:t>
      </w:r>
      <w:r>
        <w:rPr>
          <w:rFonts w:hint="eastAsia" w:ascii="仿宋_GB2312" w:eastAsia="仿宋_GB2312"/>
          <w:sz w:val="32"/>
          <w:szCs w:val="32"/>
        </w:rPr>
        <w:t>情况。2016年</w:t>
      </w:r>
      <w:r>
        <w:rPr>
          <w:rFonts w:hint="eastAsia" w:ascii="仿宋_GB2312" w:eastAsia="仿宋_GB2312"/>
          <w:sz w:val="32"/>
          <w:szCs w:val="32"/>
          <w:lang w:eastAsia="zh-CN"/>
        </w:rPr>
        <w:t>决算</w:t>
      </w:r>
      <w:r>
        <w:rPr>
          <w:rFonts w:hint="eastAsia" w:ascii="仿宋_GB2312" w:eastAsia="仿宋_GB2312"/>
          <w:sz w:val="32"/>
          <w:szCs w:val="32"/>
        </w:rPr>
        <w:t>收入</w:t>
      </w:r>
      <w:r>
        <w:rPr>
          <w:rFonts w:hint="eastAsia" w:ascii="仿宋_GB2312" w:eastAsia="仿宋_GB2312"/>
          <w:sz w:val="32"/>
          <w:szCs w:val="32"/>
          <w:lang w:eastAsia="zh-CN"/>
        </w:rPr>
        <w:t>合计</w:t>
      </w:r>
      <w:r>
        <w:rPr>
          <w:rFonts w:hint="eastAsia" w:ascii="仿宋_GB2312" w:eastAsia="仿宋_GB2312"/>
          <w:sz w:val="32"/>
          <w:szCs w:val="32"/>
        </w:rPr>
        <w:t>15</w:t>
      </w:r>
      <w:r>
        <w:rPr>
          <w:rFonts w:hint="eastAsia" w:ascii="仿宋_GB2312" w:eastAsia="仿宋_GB2312"/>
          <w:sz w:val="32"/>
          <w:szCs w:val="32"/>
          <w:lang w:val="en-US" w:eastAsia="zh-CN"/>
        </w:rPr>
        <w:t xml:space="preserve"> </w:t>
      </w:r>
      <w:r>
        <w:rPr>
          <w:rFonts w:hint="eastAsia" w:ascii="仿宋_GB2312" w:eastAsia="仿宋_GB2312"/>
          <w:sz w:val="32"/>
          <w:szCs w:val="32"/>
        </w:rPr>
        <w:t>713.29万元</w:t>
      </w:r>
      <w:r>
        <w:rPr>
          <w:rFonts w:hint="eastAsia" w:ascii="仿宋_GB2312" w:eastAsia="仿宋_GB2312"/>
          <w:sz w:val="32"/>
          <w:szCs w:val="32"/>
          <w:lang w:eastAsia="zh-CN"/>
        </w:rPr>
        <w:t>，决算</w:t>
      </w:r>
      <w:r>
        <w:rPr>
          <w:rFonts w:hint="eastAsia" w:ascii="仿宋_GB2312" w:eastAsia="仿宋_GB2312"/>
          <w:sz w:val="32"/>
          <w:szCs w:val="32"/>
        </w:rPr>
        <w:t>支出合计15</w:t>
      </w:r>
      <w:r>
        <w:rPr>
          <w:rFonts w:hint="eastAsia" w:ascii="仿宋_GB2312" w:eastAsia="仿宋_GB2312"/>
          <w:sz w:val="32"/>
          <w:szCs w:val="32"/>
          <w:lang w:val="en-US" w:eastAsia="zh-CN"/>
        </w:rPr>
        <w:t xml:space="preserve"> </w:t>
      </w:r>
      <w:r>
        <w:rPr>
          <w:rFonts w:hint="eastAsia" w:ascii="仿宋_GB2312" w:eastAsia="仿宋_GB2312"/>
          <w:sz w:val="32"/>
          <w:szCs w:val="32"/>
        </w:rPr>
        <w:t>000.96万元</w:t>
      </w:r>
      <w:r>
        <w:rPr>
          <w:rFonts w:hint="eastAsia" w:ascii="仿宋_GB2312" w:eastAsia="仿宋_GB2312"/>
          <w:sz w:val="32"/>
          <w:szCs w:val="32"/>
          <w:lang w:eastAsia="zh-CN"/>
        </w:rPr>
        <w:t>，</w:t>
      </w:r>
      <w:r>
        <w:rPr>
          <w:rFonts w:hint="eastAsia" w:ascii="仿宋_GB2312" w:eastAsia="仿宋_GB2312"/>
          <w:sz w:val="32"/>
          <w:szCs w:val="32"/>
        </w:rPr>
        <w:t>结转</w:t>
      </w:r>
      <w:r>
        <w:rPr>
          <w:rFonts w:ascii="仿宋_GB2312" w:eastAsia="仿宋_GB2312"/>
          <w:sz w:val="32"/>
          <w:szCs w:val="32"/>
        </w:rPr>
        <w:t>712.3</w:t>
      </w:r>
      <w:r>
        <w:rPr>
          <w:rFonts w:hint="eastAsia" w:ascii="仿宋_GB2312" w:eastAsia="仿宋_GB2312"/>
          <w:sz w:val="32"/>
          <w:szCs w:val="32"/>
          <w:lang w:val="en-US" w:eastAsia="zh-CN"/>
        </w:rPr>
        <w:t>3</w:t>
      </w:r>
      <w:r>
        <w:rPr>
          <w:rFonts w:hint="eastAsia" w:ascii="仿宋_GB2312" w:eastAsia="仿宋_GB2312"/>
          <w:sz w:val="32"/>
          <w:szCs w:val="32"/>
        </w:rPr>
        <w:t>万元。与2015年</w:t>
      </w:r>
      <w:r>
        <w:rPr>
          <w:rFonts w:hint="eastAsia" w:ascii="仿宋_GB2312" w:eastAsia="仿宋_GB2312"/>
          <w:sz w:val="32"/>
          <w:szCs w:val="32"/>
          <w:lang w:eastAsia="zh-CN"/>
        </w:rPr>
        <w:t>决算支出</w:t>
      </w:r>
      <w:r>
        <w:rPr>
          <w:rFonts w:hint="eastAsia" w:ascii="仿宋_GB2312" w:eastAsia="仿宋_GB2312"/>
          <w:sz w:val="32"/>
          <w:szCs w:val="32"/>
        </w:rPr>
        <w:t>合计</w:t>
      </w:r>
      <w:r>
        <w:rPr>
          <w:rFonts w:ascii="仿宋_GB2312" w:eastAsia="仿宋_GB2312"/>
          <w:sz w:val="32"/>
          <w:szCs w:val="32"/>
        </w:rPr>
        <w:t>12</w:t>
      </w:r>
      <w:r>
        <w:rPr>
          <w:rFonts w:hint="eastAsia" w:ascii="仿宋_GB2312" w:eastAsia="仿宋_GB2312"/>
          <w:sz w:val="32"/>
          <w:szCs w:val="32"/>
          <w:lang w:val="en-US" w:eastAsia="zh-CN"/>
        </w:rPr>
        <w:t xml:space="preserve"> </w:t>
      </w:r>
      <w:r>
        <w:rPr>
          <w:rFonts w:ascii="仿宋_GB2312" w:eastAsia="仿宋_GB2312"/>
          <w:sz w:val="32"/>
          <w:szCs w:val="32"/>
        </w:rPr>
        <w:t>024</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lang w:val="en-US" w:eastAsia="zh-CN"/>
        </w:rPr>
        <w:t>4</w:t>
      </w:r>
      <w:r>
        <w:rPr>
          <w:rFonts w:hint="eastAsia" w:ascii="仿宋_GB2312" w:eastAsia="仿宋_GB2312"/>
          <w:sz w:val="32"/>
          <w:szCs w:val="32"/>
        </w:rPr>
        <w:t>万元相比，增加</w:t>
      </w:r>
      <w:r>
        <w:rPr>
          <w:rFonts w:hint="eastAsia" w:ascii="仿宋_GB2312" w:eastAsia="仿宋_GB2312"/>
          <w:sz w:val="32"/>
          <w:szCs w:val="32"/>
          <w:lang w:val="en-US" w:eastAsia="zh-CN"/>
        </w:rPr>
        <w:t>2976.62</w:t>
      </w:r>
      <w:r>
        <w:rPr>
          <w:rFonts w:hint="eastAsia" w:ascii="仿宋_GB2312" w:eastAsia="仿宋_GB2312"/>
          <w:sz w:val="32"/>
          <w:szCs w:val="32"/>
        </w:rPr>
        <w:t>万元，增幅2</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 w:eastAsia="仿宋_GB2312" w:cs="仿宋"/>
          <w:color w:val="000000"/>
          <w:sz w:val="32"/>
          <w:szCs w:val="32"/>
        </w:rPr>
        <w:t>主要</w:t>
      </w:r>
      <w:r>
        <w:rPr>
          <w:rFonts w:hint="eastAsia" w:ascii="仿宋_GB2312" w:hAnsi="仿宋" w:eastAsia="仿宋_GB2312" w:cs="仿宋"/>
          <w:color w:val="000000"/>
          <w:sz w:val="32"/>
          <w:szCs w:val="32"/>
          <w:lang w:eastAsia="zh-CN"/>
        </w:rPr>
        <w:t>原因</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新增金审“三期”建设经费</w:t>
      </w:r>
      <w:r>
        <w:rPr>
          <w:rFonts w:hint="eastAsia" w:ascii="仿宋_GB2312" w:hAnsi="仿宋" w:eastAsia="仿宋_GB2312" w:cs="仿宋"/>
          <w:color w:val="000000"/>
          <w:sz w:val="32"/>
          <w:szCs w:val="32"/>
          <w:lang w:val="en-US" w:eastAsia="zh-CN"/>
        </w:rPr>
        <w:t>2 000万元，</w:t>
      </w:r>
      <w:r>
        <w:rPr>
          <w:rFonts w:hint="eastAsia" w:ascii="仿宋_GB2312" w:eastAsia="仿宋_GB2312"/>
          <w:sz w:val="32"/>
          <w:szCs w:val="32"/>
        </w:rPr>
        <w:t>人员工资增长、审计监督全覆盖、审计任务日益加重等</w:t>
      </w:r>
      <w:r>
        <w:rPr>
          <w:rFonts w:hint="eastAsia" w:ascii="仿宋_GB2312" w:hAnsi="宋体"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（三）决算</w:t>
      </w:r>
      <w:r>
        <w:rPr>
          <w:rFonts w:hint="eastAsia" w:ascii="仿宋_GB2312" w:eastAsia="仿宋_GB2312"/>
          <w:sz w:val="32"/>
          <w:szCs w:val="32"/>
        </w:rPr>
        <w:t>收支与</w:t>
      </w:r>
      <w:r>
        <w:rPr>
          <w:rFonts w:hint="eastAsia" w:ascii="仿宋_GB2312" w:eastAsia="仿宋_GB2312"/>
          <w:sz w:val="32"/>
          <w:szCs w:val="32"/>
          <w:lang w:eastAsia="zh-CN"/>
        </w:rPr>
        <w:t>年初</w:t>
      </w:r>
      <w:r>
        <w:rPr>
          <w:rFonts w:hint="eastAsia" w:ascii="仿宋_GB2312" w:eastAsia="仿宋_GB2312"/>
          <w:sz w:val="32"/>
          <w:szCs w:val="32"/>
        </w:rPr>
        <w:t>预算</w:t>
      </w:r>
      <w:r>
        <w:rPr>
          <w:rFonts w:hint="eastAsia" w:ascii="仿宋_GB2312" w:eastAsia="仿宋_GB2312"/>
          <w:sz w:val="32"/>
          <w:szCs w:val="32"/>
          <w:lang w:eastAsia="zh-CN"/>
        </w:rPr>
        <w:t>变化</w:t>
      </w:r>
      <w:r>
        <w:rPr>
          <w:rFonts w:hint="eastAsia" w:ascii="仿宋_GB2312" w:eastAsia="仿宋_GB2312"/>
          <w:sz w:val="32"/>
          <w:szCs w:val="32"/>
          <w:lang w:val="en-US" w:eastAsia="zh-CN"/>
        </w:rPr>
        <w:t>情况</w:t>
      </w:r>
      <w:r>
        <w:rPr>
          <w:rFonts w:hint="eastAsia" w:ascii="仿宋_GB2312" w:eastAsia="仿宋_GB2312"/>
          <w:sz w:val="32"/>
          <w:szCs w:val="32"/>
        </w:rPr>
        <w:t>。2016年</w:t>
      </w:r>
      <w:r>
        <w:rPr>
          <w:rFonts w:hint="eastAsia" w:ascii="仿宋_GB2312" w:eastAsia="仿宋_GB2312"/>
          <w:sz w:val="32"/>
          <w:szCs w:val="32"/>
          <w:lang w:eastAsia="zh-CN"/>
        </w:rPr>
        <w:t>年初</w:t>
      </w:r>
      <w:r>
        <w:rPr>
          <w:rFonts w:hint="eastAsia" w:ascii="仿宋_GB2312" w:eastAsia="仿宋_GB2312"/>
          <w:sz w:val="32"/>
          <w:szCs w:val="32"/>
        </w:rPr>
        <w:t>预算收支</w:t>
      </w:r>
      <w:r>
        <w:rPr>
          <w:rFonts w:ascii="仿宋_GB2312" w:eastAsia="仿宋_GB2312"/>
          <w:sz w:val="32"/>
          <w:szCs w:val="32"/>
        </w:rPr>
        <w:t>1</w:t>
      </w:r>
      <w:r>
        <w:rPr>
          <w:rFonts w:hint="eastAsia" w:ascii="仿宋_GB2312" w:eastAsia="仿宋_GB2312"/>
          <w:sz w:val="32"/>
          <w:szCs w:val="32"/>
          <w:lang w:val="en-US" w:eastAsia="zh-CN"/>
        </w:rPr>
        <w:t>3 950.76</w:t>
      </w:r>
      <w:r>
        <w:rPr>
          <w:rFonts w:hint="eastAsia" w:ascii="仿宋_GB2312" w:eastAsia="仿宋_GB2312"/>
          <w:sz w:val="32"/>
          <w:szCs w:val="32"/>
        </w:rPr>
        <w:t>万元，其中: 工资福利收支</w:t>
      </w:r>
      <w:r>
        <w:rPr>
          <w:rFonts w:hint="eastAsia" w:ascii="仿宋_GB2312" w:eastAsia="仿宋_GB2312"/>
          <w:sz w:val="32"/>
          <w:szCs w:val="32"/>
          <w:lang w:val="en-US" w:eastAsia="zh-CN"/>
        </w:rPr>
        <w:t>2 734.07</w:t>
      </w:r>
      <w:r>
        <w:rPr>
          <w:rFonts w:hint="eastAsia" w:ascii="仿宋_GB2312" w:eastAsia="仿宋_GB2312"/>
          <w:sz w:val="32"/>
          <w:szCs w:val="32"/>
        </w:rPr>
        <w:t>万元，对家庭和个人补助性收支</w:t>
      </w:r>
      <w:r>
        <w:rPr>
          <w:rFonts w:hint="eastAsia" w:ascii="仿宋_GB2312" w:eastAsia="仿宋_GB2312"/>
          <w:sz w:val="32"/>
          <w:szCs w:val="32"/>
          <w:lang w:val="en-US" w:eastAsia="zh-CN"/>
        </w:rPr>
        <w:t>1 690.58</w:t>
      </w:r>
      <w:r>
        <w:rPr>
          <w:rFonts w:hint="eastAsia" w:ascii="仿宋_GB2312" w:eastAsia="仿宋_GB2312"/>
          <w:sz w:val="32"/>
          <w:szCs w:val="32"/>
        </w:rPr>
        <w:t>万元，商品和服务性收支</w:t>
      </w:r>
      <w:r>
        <w:rPr>
          <w:rFonts w:hint="eastAsia" w:ascii="仿宋_GB2312" w:eastAsia="仿宋_GB2312"/>
          <w:sz w:val="32"/>
          <w:szCs w:val="32"/>
          <w:lang w:val="en-US" w:eastAsia="zh-CN"/>
        </w:rPr>
        <w:t xml:space="preserve"> 9 149.11</w:t>
      </w:r>
      <w:r>
        <w:rPr>
          <w:rFonts w:hint="eastAsia" w:ascii="仿宋_GB2312" w:eastAsia="仿宋_GB2312"/>
          <w:sz w:val="32"/>
          <w:szCs w:val="32"/>
        </w:rPr>
        <w:t>万元，其他资本性收支27万元，其他收</w:t>
      </w:r>
      <w:r>
        <w:rPr>
          <w:rFonts w:hint="eastAsia" w:ascii="仿宋_GB2312" w:eastAsia="仿宋_GB2312"/>
          <w:sz w:val="32"/>
          <w:szCs w:val="32"/>
          <w:lang w:eastAsia="zh-CN"/>
        </w:rPr>
        <w:t>支</w:t>
      </w:r>
      <w:r>
        <w:rPr>
          <w:rFonts w:hint="eastAsia" w:ascii="仿宋_GB2312" w:eastAsia="仿宋_GB2312"/>
          <w:sz w:val="32"/>
          <w:szCs w:val="32"/>
        </w:rPr>
        <w:t>350万元；2016年</w:t>
      </w:r>
      <w:r>
        <w:rPr>
          <w:rFonts w:hint="eastAsia" w:ascii="仿宋_GB2312" w:eastAsia="仿宋_GB2312"/>
          <w:sz w:val="32"/>
          <w:szCs w:val="32"/>
          <w:lang w:eastAsia="zh-CN"/>
        </w:rPr>
        <w:t>决算</w:t>
      </w:r>
      <w:r>
        <w:rPr>
          <w:rFonts w:hint="eastAsia" w:ascii="仿宋_GB2312" w:eastAsia="仿宋_GB2312"/>
          <w:sz w:val="32"/>
          <w:szCs w:val="32"/>
        </w:rPr>
        <w:t>收入合计15</w:t>
      </w:r>
      <w:r>
        <w:rPr>
          <w:rFonts w:hint="eastAsia" w:ascii="仿宋_GB2312" w:eastAsia="仿宋_GB2312"/>
          <w:sz w:val="32"/>
          <w:szCs w:val="32"/>
          <w:lang w:val="en-US" w:eastAsia="zh-CN"/>
        </w:rPr>
        <w:t xml:space="preserve"> </w:t>
      </w:r>
      <w:r>
        <w:rPr>
          <w:rFonts w:hint="eastAsia" w:ascii="仿宋_GB2312" w:eastAsia="仿宋_GB2312"/>
          <w:sz w:val="32"/>
          <w:szCs w:val="32"/>
        </w:rPr>
        <w:t>713.29万元</w:t>
      </w:r>
      <w:r>
        <w:rPr>
          <w:rFonts w:hint="eastAsia" w:ascii="仿宋_GB2312" w:eastAsia="仿宋_GB2312"/>
          <w:sz w:val="32"/>
          <w:szCs w:val="32"/>
          <w:lang w:eastAsia="zh-CN"/>
        </w:rPr>
        <w:t>，决算</w:t>
      </w:r>
      <w:r>
        <w:rPr>
          <w:rFonts w:hint="eastAsia" w:ascii="仿宋_GB2312" w:eastAsia="仿宋_GB2312"/>
          <w:sz w:val="32"/>
          <w:szCs w:val="32"/>
        </w:rPr>
        <w:t>支出合计15</w:t>
      </w:r>
      <w:r>
        <w:rPr>
          <w:rFonts w:hint="eastAsia" w:ascii="仿宋_GB2312" w:eastAsia="仿宋_GB2312"/>
          <w:sz w:val="32"/>
          <w:szCs w:val="32"/>
          <w:lang w:val="en-US" w:eastAsia="zh-CN"/>
        </w:rPr>
        <w:t xml:space="preserve"> </w:t>
      </w:r>
      <w:r>
        <w:rPr>
          <w:rFonts w:hint="eastAsia" w:ascii="仿宋_GB2312" w:eastAsia="仿宋_GB2312"/>
          <w:sz w:val="32"/>
          <w:szCs w:val="32"/>
        </w:rPr>
        <w:t>000.96万元，其中: 工资福利</w:t>
      </w:r>
      <w:r>
        <w:rPr>
          <w:rFonts w:hint="eastAsia" w:ascii="仿宋_GB2312" w:eastAsia="仿宋_GB2312"/>
          <w:sz w:val="32"/>
          <w:szCs w:val="32"/>
          <w:lang w:eastAsia="zh-CN"/>
        </w:rPr>
        <w:t>支出</w:t>
      </w:r>
      <w:r>
        <w:rPr>
          <w:rFonts w:hint="eastAsia" w:ascii="仿宋_GB2312" w:eastAsia="仿宋_GB2312"/>
          <w:sz w:val="32"/>
          <w:szCs w:val="32"/>
          <w:lang w:val="en-US" w:eastAsia="zh-CN"/>
        </w:rPr>
        <w:t>3 094.00</w:t>
      </w:r>
      <w:r>
        <w:rPr>
          <w:rFonts w:hint="eastAsia" w:ascii="仿宋_GB2312" w:eastAsia="仿宋_GB2312"/>
          <w:sz w:val="32"/>
          <w:szCs w:val="32"/>
        </w:rPr>
        <w:t>万元，对家庭和个人补助</w:t>
      </w:r>
      <w:r>
        <w:rPr>
          <w:rFonts w:hint="eastAsia" w:ascii="仿宋_GB2312" w:eastAsia="仿宋_GB2312"/>
          <w:sz w:val="32"/>
          <w:szCs w:val="32"/>
          <w:lang w:eastAsia="zh-CN"/>
        </w:rPr>
        <w:t>支出</w:t>
      </w:r>
      <w:r>
        <w:rPr>
          <w:rFonts w:hint="eastAsia" w:ascii="仿宋_GB2312" w:eastAsia="仿宋_GB2312"/>
          <w:sz w:val="32"/>
          <w:szCs w:val="32"/>
          <w:lang w:val="en-US" w:eastAsia="zh-CN"/>
        </w:rPr>
        <w:t>3 400.52</w:t>
      </w:r>
      <w:r>
        <w:rPr>
          <w:rFonts w:hint="eastAsia" w:ascii="仿宋_GB2312" w:eastAsia="仿宋_GB2312"/>
          <w:sz w:val="32"/>
          <w:szCs w:val="32"/>
        </w:rPr>
        <w:t>万元，商品和服务性收支</w:t>
      </w:r>
      <w:r>
        <w:rPr>
          <w:rFonts w:hint="eastAsia" w:ascii="仿宋_GB2312" w:eastAsia="仿宋_GB2312"/>
          <w:sz w:val="32"/>
          <w:szCs w:val="32"/>
          <w:lang w:val="en-US" w:eastAsia="zh-CN"/>
        </w:rPr>
        <w:t xml:space="preserve">      7 265.65</w:t>
      </w:r>
      <w:r>
        <w:rPr>
          <w:rFonts w:hint="eastAsia" w:ascii="仿宋_GB2312" w:eastAsia="仿宋_GB2312"/>
          <w:sz w:val="32"/>
          <w:szCs w:val="32"/>
        </w:rPr>
        <w:t>万元，基本建设支出564.99</w:t>
      </w:r>
      <w:r>
        <w:rPr>
          <w:rFonts w:hint="eastAsia" w:ascii="仿宋_GB2312" w:eastAsia="仿宋_GB2312"/>
          <w:sz w:val="32"/>
          <w:szCs w:val="32"/>
          <w:lang w:eastAsia="zh-CN"/>
        </w:rPr>
        <w:t>万元，</w:t>
      </w:r>
      <w:r>
        <w:rPr>
          <w:rFonts w:hint="eastAsia" w:ascii="仿宋_GB2312" w:eastAsia="仿宋_GB2312"/>
          <w:sz w:val="32"/>
          <w:szCs w:val="32"/>
        </w:rPr>
        <w:t>其他资本性</w:t>
      </w:r>
      <w:r>
        <w:rPr>
          <w:rFonts w:hint="eastAsia" w:ascii="仿宋_GB2312" w:eastAsia="仿宋_GB2312"/>
          <w:sz w:val="32"/>
          <w:szCs w:val="32"/>
          <w:lang w:eastAsia="zh-CN"/>
        </w:rPr>
        <w:t>支出</w:t>
      </w:r>
      <w:r>
        <w:rPr>
          <w:rFonts w:hint="eastAsia" w:ascii="仿宋_GB2312" w:eastAsia="仿宋_GB2312"/>
          <w:sz w:val="32"/>
          <w:szCs w:val="32"/>
        </w:rPr>
        <w:t>675.79万元</w:t>
      </w:r>
      <w:r>
        <w:rPr>
          <w:rFonts w:hint="eastAsia" w:ascii="仿宋_GB2312" w:eastAsia="仿宋_GB2312"/>
          <w:sz w:val="32"/>
          <w:szCs w:val="32"/>
          <w:lang w:eastAsia="zh-CN"/>
        </w:rPr>
        <w:t>。</w:t>
      </w:r>
      <w:r>
        <w:rPr>
          <w:rFonts w:hint="eastAsia" w:ascii="仿宋_GB2312" w:eastAsia="仿宋_GB2312"/>
          <w:sz w:val="32"/>
          <w:szCs w:val="32"/>
        </w:rPr>
        <w:t xml:space="preserve">超预算支出 </w:t>
      </w:r>
      <w:r>
        <w:rPr>
          <w:rFonts w:hint="eastAsia" w:ascii="仿宋_GB2312" w:eastAsia="仿宋_GB2312"/>
          <w:sz w:val="32"/>
          <w:szCs w:val="32"/>
          <w:lang w:val="en-US" w:eastAsia="zh-CN"/>
        </w:rPr>
        <w:t>1 050.20</w:t>
      </w:r>
      <w:r>
        <w:rPr>
          <w:rFonts w:hint="eastAsia" w:ascii="仿宋_GB2312" w:eastAsia="仿宋_GB2312"/>
          <w:sz w:val="32"/>
          <w:szCs w:val="32"/>
        </w:rPr>
        <w:t>万元，主要</w:t>
      </w:r>
      <w:r>
        <w:rPr>
          <w:rFonts w:hint="eastAsia" w:ascii="仿宋_GB2312" w:eastAsia="仿宋_GB2312"/>
          <w:sz w:val="32"/>
          <w:szCs w:val="32"/>
          <w:lang w:eastAsia="zh-CN"/>
        </w:rPr>
        <w:t>原因：</w:t>
      </w:r>
      <w:r>
        <w:rPr>
          <w:rFonts w:hint="eastAsia" w:ascii="仿宋_GB2312" w:eastAsia="仿宋_GB2312"/>
          <w:sz w:val="32"/>
          <w:szCs w:val="32"/>
        </w:rPr>
        <w:t>新增金审</w:t>
      </w:r>
      <w:r>
        <w:rPr>
          <w:rFonts w:hint="eastAsia" w:ascii="仿宋_GB2312" w:eastAsia="仿宋_GB2312"/>
          <w:sz w:val="32"/>
          <w:szCs w:val="32"/>
          <w:lang w:eastAsia="zh-CN"/>
        </w:rPr>
        <w:t>“</w:t>
      </w:r>
      <w:r>
        <w:rPr>
          <w:rFonts w:hint="eastAsia" w:ascii="仿宋_GB2312" w:eastAsia="仿宋_GB2312"/>
          <w:sz w:val="32"/>
          <w:szCs w:val="32"/>
        </w:rPr>
        <w:t>三期</w:t>
      </w:r>
      <w:r>
        <w:rPr>
          <w:rFonts w:hint="eastAsia" w:ascii="仿宋_GB2312" w:eastAsia="仿宋_GB2312"/>
          <w:sz w:val="32"/>
          <w:szCs w:val="32"/>
          <w:lang w:eastAsia="zh-CN"/>
        </w:rPr>
        <w:t>”</w:t>
      </w:r>
      <w:r>
        <w:rPr>
          <w:rFonts w:hint="eastAsia" w:ascii="仿宋_GB2312" w:eastAsia="仿宋_GB2312"/>
          <w:sz w:val="32"/>
          <w:szCs w:val="32"/>
        </w:rPr>
        <w:t>建设支出</w:t>
      </w:r>
      <w:r>
        <w:rPr>
          <w:rFonts w:hint="eastAsia" w:ascii="仿宋_GB2312" w:eastAsia="仿宋_GB2312"/>
          <w:sz w:val="32"/>
          <w:szCs w:val="32"/>
          <w:lang w:eastAsia="zh-CN"/>
        </w:rPr>
        <w:t>、</w:t>
      </w:r>
      <w:r>
        <w:rPr>
          <w:rFonts w:hint="eastAsia" w:ascii="仿宋_GB2312" w:eastAsia="仿宋_GB2312"/>
          <w:sz w:val="32"/>
          <w:szCs w:val="32"/>
        </w:rPr>
        <w:t>人员工资增长、审计监督全覆盖、审计任务日益加重</w:t>
      </w:r>
      <w:r>
        <w:rPr>
          <w:rFonts w:hint="eastAsia" w:ascii="仿宋_GB2312" w:eastAsia="仿宋_GB2312"/>
          <w:sz w:val="32"/>
          <w:szCs w:val="32"/>
          <w:lang w:eastAsia="zh-CN"/>
        </w:rPr>
        <w:t>等</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pacing w:val="0"/>
          <w:position w:val="0"/>
          <w:sz w:val="32"/>
          <w:shd w:val="clear" w:fill="auto"/>
          <w:lang w:val="en-US" w:eastAsia="zh-CN"/>
        </w:rPr>
      </w:pPr>
      <w:r>
        <w:rPr>
          <w:rFonts w:hint="eastAsia" w:ascii="黑体" w:hAnsi="黑体" w:eastAsia="黑体" w:cs="黑体"/>
          <w:color w:val="auto"/>
          <w:spacing w:val="0"/>
          <w:position w:val="0"/>
          <w:sz w:val="32"/>
          <w:shd w:val="clear" w:fill="auto"/>
          <w:lang w:val="en-US" w:eastAsia="zh-CN"/>
        </w:rPr>
        <w:t>四、机关运行经费情况说明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 w:eastAsia="仿宋_GB2312" w:cs="仿宋"/>
          <w:bCs/>
          <w:color w:val="000000"/>
          <w:sz w:val="32"/>
          <w:szCs w:val="32"/>
        </w:rPr>
        <w:t>2016年</w:t>
      </w:r>
      <w:r>
        <w:rPr>
          <w:rFonts w:hint="eastAsia" w:ascii="仿宋_GB2312" w:hAnsi="仿宋" w:eastAsia="仿宋_GB2312" w:cs="仿宋"/>
          <w:bCs/>
          <w:color w:val="000000"/>
          <w:sz w:val="32"/>
          <w:szCs w:val="32"/>
          <w:lang w:eastAsia="zh-CN"/>
        </w:rPr>
        <w:t>审计厅</w:t>
      </w:r>
      <w:r>
        <w:rPr>
          <w:rFonts w:hint="eastAsia" w:ascii="仿宋_GB2312" w:hAnsi="仿宋" w:eastAsia="仿宋_GB2312" w:cs="仿宋"/>
          <w:bCs/>
          <w:color w:val="000000"/>
          <w:sz w:val="32"/>
          <w:szCs w:val="32"/>
        </w:rPr>
        <w:t>机关运行经费支出</w:t>
      </w:r>
      <w:r>
        <w:rPr>
          <w:rFonts w:ascii="仿宋_GB2312" w:hAnsi="仿宋" w:eastAsia="仿宋_GB2312" w:cs="Times New Roman"/>
          <w:bCs/>
          <w:color w:val="000000"/>
          <w:sz w:val="32"/>
          <w:szCs w:val="32"/>
        </w:rPr>
        <w:t>597.1</w:t>
      </w:r>
      <w:r>
        <w:rPr>
          <w:rFonts w:hint="eastAsia" w:ascii="仿宋_GB2312" w:hAnsi="仿宋" w:eastAsia="仿宋_GB2312" w:cs="Times New Roman"/>
          <w:bCs/>
          <w:color w:val="000000"/>
          <w:sz w:val="32"/>
          <w:szCs w:val="32"/>
          <w:lang w:val="en-US" w:eastAsia="zh-CN"/>
        </w:rPr>
        <w:t>0</w:t>
      </w:r>
      <w:r>
        <w:rPr>
          <w:rFonts w:hint="eastAsia" w:ascii="仿宋_GB2312" w:hAnsi="仿宋" w:eastAsia="仿宋_GB2312" w:cs="Times New Roman"/>
          <w:bCs/>
          <w:color w:val="000000"/>
          <w:sz w:val="32"/>
          <w:szCs w:val="32"/>
        </w:rPr>
        <w:t>万元，与上年</w:t>
      </w:r>
      <w:r>
        <w:rPr>
          <w:rFonts w:hint="eastAsia" w:ascii="仿宋_GB2312" w:hAnsi="仿宋" w:eastAsia="仿宋_GB2312" w:cs="仿宋"/>
          <w:bCs/>
          <w:color w:val="000000"/>
          <w:sz w:val="32"/>
          <w:szCs w:val="32"/>
        </w:rPr>
        <w:t>机关运行经费支出</w:t>
      </w:r>
      <w:r>
        <w:rPr>
          <w:rFonts w:hint="eastAsia" w:ascii="仿宋_GB2312" w:hAnsi="仿宋" w:eastAsia="仿宋_GB2312" w:cs="Times New Roman"/>
          <w:bCs/>
          <w:color w:val="000000"/>
          <w:sz w:val="32"/>
          <w:szCs w:val="32"/>
          <w:lang w:val="en-US" w:eastAsia="zh-CN"/>
        </w:rPr>
        <w:t>540.69万元同比增长10%，主要原因：</w:t>
      </w:r>
      <w:r>
        <w:rPr>
          <w:rFonts w:hint="eastAsia" w:ascii="仿宋_GB2312" w:eastAsia="仿宋_GB2312"/>
          <w:sz w:val="32"/>
          <w:szCs w:val="32"/>
        </w:rPr>
        <w:t>人员增</w:t>
      </w:r>
      <w:r>
        <w:rPr>
          <w:rFonts w:hint="eastAsia" w:ascii="仿宋_GB2312" w:eastAsia="仿宋_GB2312"/>
          <w:sz w:val="32"/>
          <w:szCs w:val="32"/>
          <w:lang w:eastAsia="zh-CN"/>
        </w:rPr>
        <w:t>多</w:t>
      </w:r>
      <w:r>
        <w:rPr>
          <w:rFonts w:hint="eastAsia" w:ascii="仿宋_GB2312" w:eastAsia="仿宋_GB2312"/>
          <w:sz w:val="32"/>
          <w:szCs w:val="32"/>
        </w:rPr>
        <w:t>、审计监督全覆盖、审计任务日益加重</w:t>
      </w:r>
      <w:r>
        <w:rPr>
          <w:rFonts w:hint="eastAsia" w:ascii="仿宋_GB2312" w:eastAsia="仿宋_GB2312"/>
          <w:sz w:val="32"/>
          <w:szCs w:val="32"/>
          <w:lang w:eastAsia="zh-CN"/>
        </w:rPr>
        <w:t>，机关办公费用物价上涨等。</w:t>
      </w:r>
      <w:r>
        <w:rPr>
          <w:rFonts w:hint="eastAsia" w:ascii="仿宋_GB2312" w:hAnsi="仿宋" w:eastAsia="仿宋_GB2312" w:cs="Times New Roman"/>
          <w:bCs/>
          <w:color w:val="000000"/>
          <w:sz w:val="32"/>
          <w:szCs w:val="32"/>
          <w:lang w:eastAsia="zh-CN"/>
        </w:rPr>
        <w:t>机关运行经费是</w:t>
      </w:r>
      <w:r>
        <w:rPr>
          <w:rFonts w:hint="eastAsia" w:ascii="仿宋_GB2312" w:hAnsi="仿宋" w:eastAsia="仿宋_GB2312" w:cs="仿宋"/>
          <w:bCs/>
          <w:color w:val="000000"/>
          <w:sz w:val="32"/>
          <w:szCs w:val="32"/>
          <w:lang w:eastAsia="zh-CN"/>
        </w:rPr>
        <w:t>审计厅</w:t>
      </w:r>
      <w:r>
        <w:rPr>
          <w:rFonts w:hint="eastAsia" w:ascii="仿宋_GB2312" w:hAnsi="仿宋" w:eastAsia="仿宋_GB2312" w:cs="Times New Roman"/>
          <w:bCs/>
          <w:color w:val="000000"/>
          <w:sz w:val="32"/>
          <w:szCs w:val="32"/>
          <w:lang w:eastAsia="zh-CN"/>
        </w:rPr>
        <w:t>机关</w:t>
      </w:r>
      <w:r>
        <w:rPr>
          <w:rFonts w:hint="eastAsia" w:ascii="仿宋_GB2312" w:hAnsi="仿宋" w:eastAsia="仿宋_GB2312" w:cs="Times New Roman"/>
          <w:bCs/>
          <w:color w:val="000000"/>
          <w:sz w:val="32"/>
          <w:szCs w:val="32"/>
        </w:rPr>
        <w:t>使用一般公共预算财政拨款安排的基本支出中的日常公用经费支出。</w:t>
      </w:r>
      <w:r>
        <w:rPr>
          <w:rFonts w:hint="eastAsia" w:ascii="仿宋_GB2312" w:hAnsi="仿宋" w:eastAsia="仿宋_GB2312" w:cs="Times New Roman"/>
          <w:bCs/>
          <w:color w:val="000000"/>
          <w:sz w:val="32"/>
          <w:szCs w:val="32"/>
        </w:rPr>
        <w:tab/>
      </w:r>
      <w:r>
        <w:rPr>
          <w:rFonts w:hint="eastAsia" w:ascii="仿宋_GB2312" w:hAnsi="仿宋" w:eastAsia="仿宋_GB2312" w:cs="Times New Roman"/>
          <w:bCs/>
          <w:color w:val="000000"/>
          <w:sz w:val="32"/>
          <w:szCs w:val="32"/>
        </w:rPr>
        <w:tab/>
      </w:r>
      <w:r>
        <w:rPr>
          <w:rFonts w:hint="eastAsia" w:ascii="仿宋_GB2312" w:hAnsi="仿宋" w:eastAsia="仿宋_GB2312" w:cs="Times New Roman"/>
          <w:bCs/>
          <w:color w:val="000000"/>
          <w:sz w:val="32"/>
          <w:szCs w:val="32"/>
        </w:rPr>
        <w:tab/>
      </w:r>
      <w:r>
        <w:rPr>
          <w:rFonts w:hint="eastAsia" w:ascii="仿宋_GB2312" w:hAnsi="仿宋" w:eastAsia="仿宋_GB2312" w:cs="Times New Roman"/>
          <w:bCs/>
          <w:color w:val="000000"/>
          <w:sz w:val="32"/>
          <w:szCs w:val="32"/>
          <w:lang w:val="en-US" w:eastAsia="zh-CN"/>
        </w:rPr>
        <w:t xml:space="preserve">  </w:t>
      </w:r>
      <w:r>
        <w:rPr>
          <w:rFonts w:hint="eastAsia" w:ascii="黑体" w:hAnsi="黑体" w:eastAsia="黑体" w:cs="黑体"/>
          <w:sz w:val="32"/>
          <w:szCs w:val="32"/>
          <w:lang w:val="en-US" w:eastAsia="zh-CN"/>
        </w:rPr>
        <w:t>五、政府采购执行情况说明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2016年采购计划金额</w:t>
      </w:r>
      <w:r>
        <w:rPr>
          <w:rFonts w:hint="eastAsia" w:ascii="仿宋_GB2312" w:hAnsi="仿宋" w:eastAsia="仿宋_GB2312" w:cs="仿宋"/>
          <w:bCs/>
          <w:color w:val="000000"/>
          <w:sz w:val="32"/>
          <w:szCs w:val="32"/>
          <w:lang w:eastAsia="zh-CN"/>
        </w:rPr>
        <w:t>合计</w:t>
      </w:r>
      <w:r>
        <w:rPr>
          <w:rFonts w:ascii="仿宋_GB2312" w:hAnsi="仿宋" w:eastAsia="仿宋_GB2312" w:cs="仿宋"/>
          <w:bCs/>
          <w:color w:val="000000"/>
          <w:sz w:val="32"/>
          <w:szCs w:val="32"/>
        </w:rPr>
        <w:t>2</w:t>
      </w:r>
      <w:r>
        <w:rPr>
          <w:rFonts w:hint="eastAsia" w:ascii="仿宋_GB2312" w:hAnsi="仿宋" w:eastAsia="仿宋_GB2312" w:cs="仿宋"/>
          <w:bCs/>
          <w:color w:val="000000"/>
          <w:sz w:val="32"/>
          <w:szCs w:val="32"/>
          <w:lang w:val="en-US" w:eastAsia="zh-CN"/>
        </w:rPr>
        <w:t xml:space="preserve"> </w:t>
      </w:r>
      <w:r>
        <w:rPr>
          <w:rFonts w:ascii="仿宋_GB2312" w:hAnsi="仿宋" w:eastAsia="仿宋_GB2312" w:cs="仿宋"/>
          <w:bCs/>
          <w:color w:val="000000"/>
          <w:sz w:val="32"/>
          <w:szCs w:val="32"/>
        </w:rPr>
        <w:t>708</w:t>
      </w:r>
      <w:r>
        <w:rPr>
          <w:rFonts w:hint="eastAsia" w:ascii="仿宋_GB2312" w:hAnsi="仿宋" w:eastAsia="仿宋_GB2312" w:cs="仿宋"/>
          <w:bCs/>
          <w:color w:val="000000"/>
          <w:sz w:val="32"/>
          <w:szCs w:val="32"/>
          <w:lang w:eastAsia="zh-CN"/>
        </w:rPr>
        <w:t>万元，</w:t>
      </w:r>
      <w:r>
        <w:rPr>
          <w:rFonts w:hint="eastAsia" w:ascii="仿宋_GB2312" w:hAnsi="仿宋" w:eastAsia="仿宋_GB2312" w:cs="仿宋"/>
          <w:bCs/>
          <w:color w:val="000000"/>
          <w:sz w:val="32"/>
          <w:szCs w:val="32"/>
        </w:rPr>
        <w:t>其中：货物</w:t>
      </w:r>
      <w:r>
        <w:rPr>
          <w:rFonts w:ascii="仿宋_GB2312" w:hAnsi="仿宋" w:eastAsia="仿宋_GB2312" w:cs="仿宋"/>
          <w:bCs/>
          <w:color w:val="000000"/>
          <w:sz w:val="32"/>
          <w:szCs w:val="32"/>
        </w:rPr>
        <w:t>514.1</w:t>
      </w:r>
      <w:r>
        <w:rPr>
          <w:rFonts w:hint="eastAsia" w:ascii="仿宋_GB2312" w:hAnsi="仿宋" w:eastAsia="仿宋_GB2312" w:cs="仿宋"/>
          <w:bCs/>
          <w:color w:val="000000"/>
          <w:sz w:val="32"/>
          <w:szCs w:val="32"/>
          <w:lang w:val="en-US" w:eastAsia="zh-CN"/>
        </w:rPr>
        <w:t>0</w:t>
      </w:r>
      <w:r>
        <w:rPr>
          <w:rFonts w:hint="eastAsia" w:ascii="仿宋_GB2312" w:hAnsi="仿宋" w:eastAsia="仿宋_GB2312" w:cs="仿宋"/>
          <w:bCs/>
          <w:color w:val="000000"/>
          <w:sz w:val="32"/>
          <w:szCs w:val="32"/>
        </w:rPr>
        <w:t>万元，工程</w:t>
      </w:r>
      <w:r>
        <w:rPr>
          <w:rFonts w:ascii="仿宋_GB2312" w:hAnsi="仿宋" w:eastAsia="仿宋_GB2312" w:cs="仿宋"/>
          <w:bCs/>
          <w:color w:val="000000"/>
          <w:sz w:val="32"/>
          <w:szCs w:val="32"/>
        </w:rPr>
        <w:t>1</w:t>
      </w:r>
      <w:r>
        <w:rPr>
          <w:rFonts w:hint="eastAsia" w:ascii="仿宋_GB2312" w:hAnsi="仿宋" w:eastAsia="仿宋_GB2312" w:cs="仿宋"/>
          <w:bCs/>
          <w:color w:val="000000"/>
          <w:sz w:val="32"/>
          <w:szCs w:val="32"/>
          <w:lang w:val="en-US" w:eastAsia="zh-CN"/>
        </w:rPr>
        <w:t xml:space="preserve"> </w:t>
      </w:r>
      <w:r>
        <w:rPr>
          <w:rFonts w:ascii="仿宋_GB2312" w:hAnsi="仿宋" w:eastAsia="仿宋_GB2312" w:cs="仿宋"/>
          <w:bCs/>
          <w:color w:val="000000"/>
          <w:sz w:val="32"/>
          <w:szCs w:val="32"/>
        </w:rPr>
        <w:t>644.9</w:t>
      </w:r>
      <w:r>
        <w:rPr>
          <w:rFonts w:hint="eastAsia" w:ascii="仿宋_GB2312" w:hAnsi="仿宋" w:eastAsia="仿宋_GB2312" w:cs="仿宋"/>
          <w:bCs/>
          <w:color w:val="000000"/>
          <w:sz w:val="32"/>
          <w:szCs w:val="32"/>
          <w:lang w:val="en-US" w:eastAsia="zh-CN"/>
        </w:rPr>
        <w:t>0</w:t>
      </w:r>
      <w:r>
        <w:rPr>
          <w:rFonts w:hint="eastAsia" w:ascii="仿宋_GB2312" w:hAnsi="仿宋" w:eastAsia="仿宋_GB2312" w:cs="仿宋"/>
          <w:bCs/>
          <w:color w:val="000000"/>
          <w:sz w:val="32"/>
          <w:szCs w:val="32"/>
        </w:rPr>
        <w:t>万元，服务</w:t>
      </w:r>
      <w:r>
        <w:rPr>
          <w:rFonts w:ascii="仿宋_GB2312" w:hAnsi="仿宋" w:eastAsia="仿宋_GB2312" w:cs="仿宋"/>
          <w:bCs/>
          <w:color w:val="000000"/>
          <w:sz w:val="32"/>
          <w:szCs w:val="32"/>
        </w:rPr>
        <w:t>549</w:t>
      </w:r>
      <w:r>
        <w:rPr>
          <w:rFonts w:hint="eastAsia" w:ascii="仿宋_GB2312" w:hAnsi="仿宋" w:eastAsia="仿宋_GB2312" w:cs="仿宋"/>
          <w:bCs/>
          <w:color w:val="000000"/>
          <w:sz w:val="32"/>
          <w:szCs w:val="32"/>
        </w:rPr>
        <w:t>万元。实际采购金额</w:t>
      </w:r>
      <w:r>
        <w:rPr>
          <w:rFonts w:hint="eastAsia" w:ascii="仿宋_GB2312" w:hAnsi="仿宋" w:eastAsia="仿宋_GB2312" w:cs="仿宋"/>
          <w:bCs/>
          <w:color w:val="000000"/>
          <w:sz w:val="32"/>
          <w:szCs w:val="32"/>
          <w:lang w:eastAsia="zh-CN"/>
        </w:rPr>
        <w:t>合计</w:t>
      </w:r>
      <w:r>
        <w:rPr>
          <w:rFonts w:ascii="仿宋_GB2312" w:hAnsi="仿宋" w:eastAsia="仿宋_GB2312" w:cs="仿宋"/>
          <w:bCs/>
          <w:color w:val="000000"/>
          <w:sz w:val="32"/>
          <w:szCs w:val="32"/>
        </w:rPr>
        <w:t>973.9</w:t>
      </w:r>
      <w:r>
        <w:rPr>
          <w:rFonts w:hint="eastAsia" w:ascii="仿宋_GB2312" w:hAnsi="仿宋" w:eastAsia="仿宋_GB2312" w:cs="仿宋"/>
          <w:bCs/>
          <w:color w:val="000000"/>
          <w:sz w:val="32"/>
          <w:szCs w:val="32"/>
          <w:lang w:val="en-US" w:eastAsia="zh-CN"/>
        </w:rPr>
        <w:t>0</w:t>
      </w:r>
      <w:r>
        <w:rPr>
          <w:rFonts w:hint="eastAsia" w:ascii="仿宋_GB2312" w:hAnsi="仿宋" w:eastAsia="仿宋_GB2312" w:cs="仿宋"/>
          <w:bCs/>
          <w:color w:val="000000"/>
          <w:sz w:val="32"/>
          <w:szCs w:val="32"/>
        </w:rPr>
        <w:t>万元，其中：货物</w:t>
      </w:r>
      <w:r>
        <w:rPr>
          <w:rFonts w:ascii="仿宋_GB2312" w:hAnsi="仿宋" w:eastAsia="仿宋_GB2312" w:cs="仿宋"/>
          <w:bCs/>
          <w:color w:val="000000"/>
          <w:sz w:val="32"/>
          <w:szCs w:val="32"/>
        </w:rPr>
        <w:t>154.6</w:t>
      </w:r>
      <w:r>
        <w:rPr>
          <w:rFonts w:hint="eastAsia" w:ascii="仿宋_GB2312" w:hAnsi="仿宋" w:eastAsia="仿宋_GB2312" w:cs="仿宋"/>
          <w:bCs/>
          <w:color w:val="000000"/>
          <w:sz w:val="32"/>
          <w:szCs w:val="32"/>
          <w:lang w:val="en-US" w:eastAsia="zh-CN"/>
        </w:rPr>
        <w:t>0</w:t>
      </w:r>
      <w:r>
        <w:rPr>
          <w:rFonts w:hint="eastAsia" w:ascii="仿宋_GB2312" w:hAnsi="仿宋" w:eastAsia="仿宋_GB2312" w:cs="仿宋"/>
          <w:bCs/>
          <w:color w:val="000000"/>
          <w:sz w:val="32"/>
          <w:szCs w:val="32"/>
        </w:rPr>
        <w:t>万元，工程</w:t>
      </w:r>
      <w:r>
        <w:rPr>
          <w:rFonts w:ascii="仿宋_GB2312" w:hAnsi="仿宋" w:eastAsia="仿宋_GB2312" w:cs="仿宋"/>
          <w:bCs/>
          <w:color w:val="000000"/>
          <w:sz w:val="32"/>
          <w:szCs w:val="32"/>
        </w:rPr>
        <w:t>646.7</w:t>
      </w:r>
      <w:r>
        <w:rPr>
          <w:rFonts w:hint="eastAsia" w:ascii="仿宋_GB2312" w:hAnsi="仿宋" w:eastAsia="仿宋_GB2312" w:cs="仿宋"/>
          <w:bCs/>
          <w:color w:val="000000"/>
          <w:sz w:val="32"/>
          <w:szCs w:val="32"/>
          <w:lang w:val="en-US" w:eastAsia="zh-CN"/>
        </w:rPr>
        <w:t>0</w:t>
      </w:r>
      <w:r>
        <w:rPr>
          <w:rFonts w:hint="eastAsia" w:ascii="仿宋_GB2312" w:hAnsi="仿宋" w:eastAsia="仿宋_GB2312" w:cs="仿宋"/>
          <w:bCs/>
          <w:color w:val="000000"/>
          <w:sz w:val="32"/>
          <w:szCs w:val="32"/>
        </w:rPr>
        <w:t>万元，服务</w:t>
      </w:r>
      <w:r>
        <w:rPr>
          <w:rFonts w:ascii="仿宋_GB2312" w:hAnsi="仿宋" w:eastAsia="仿宋_GB2312" w:cs="仿宋"/>
          <w:bCs/>
          <w:color w:val="000000"/>
          <w:sz w:val="32"/>
          <w:szCs w:val="32"/>
        </w:rPr>
        <w:t>172.6</w:t>
      </w:r>
      <w:r>
        <w:rPr>
          <w:rFonts w:hint="eastAsia" w:ascii="仿宋_GB2312" w:hAnsi="仿宋" w:eastAsia="仿宋_GB2312" w:cs="仿宋"/>
          <w:bCs/>
          <w:color w:val="000000"/>
          <w:sz w:val="32"/>
          <w:szCs w:val="32"/>
          <w:lang w:val="en-US" w:eastAsia="zh-CN"/>
        </w:rPr>
        <w:t>0</w:t>
      </w:r>
      <w:r>
        <w:rPr>
          <w:rFonts w:hint="eastAsia" w:ascii="仿宋_GB2312" w:hAnsi="仿宋" w:eastAsia="仿宋_GB2312" w:cs="仿宋"/>
          <w:bCs/>
          <w:color w:val="000000"/>
          <w:sz w:val="32"/>
          <w:szCs w:val="32"/>
        </w:rPr>
        <w:t>万元。</w:t>
      </w:r>
      <w:r>
        <w:rPr>
          <w:rFonts w:hint="eastAsia" w:ascii="仿宋_GB2312" w:hAnsi="仿宋" w:eastAsia="仿宋_GB2312" w:cs="仿宋"/>
          <w:bCs/>
          <w:color w:val="00000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pacing w:val="0"/>
          <w:position w:val="0"/>
          <w:sz w:val="32"/>
          <w:shd w:val="clear" w:fill="auto"/>
          <w:lang w:val="en-US" w:eastAsia="zh-CN"/>
        </w:rPr>
      </w:pPr>
      <w:r>
        <w:rPr>
          <w:rFonts w:hint="eastAsia" w:ascii="黑体" w:hAnsi="黑体" w:eastAsia="黑体" w:cs="黑体"/>
          <w:color w:val="auto"/>
          <w:spacing w:val="0"/>
          <w:position w:val="0"/>
          <w:sz w:val="32"/>
          <w:shd w:val="clear" w:fill="auto"/>
          <w:lang w:val="en-US" w:eastAsia="zh-CN"/>
        </w:rPr>
        <w:t>六、“三公”经费增减原因说明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仿宋" w:eastAsia="仿宋_GB2312" w:cs="仿宋"/>
          <w:color w:val="000000"/>
          <w:sz w:val="32"/>
          <w:szCs w:val="32"/>
          <w:lang w:val="en-US" w:eastAsia="zh-CN"/>
        </w:rPr>
        <w:t>2016年</w:t>
      </w:r>
      <w:r>
        <w:rPr>
          <w:rFonts w:hint="eastAsia" w:ascii="仿宋_GB2312" w:hAnsi="仿宋" w:eastAsia="仿宋_GB2312" w:cs="仿宋"/>
          <w:color w:val="000000"/>
          <w:sz w:val="32"/>
          <w:szCs w:val="32"/>
        </w:rPr>
        <w:t>“三公”</w:t>
      </w:r>
      <w:r>
        <w:rPr>
          <w:rFonts w:hint="eastAsia" w:ascii="仿宋_GB2312" w:hAnsi="仿宋" w:eastAsia="仿宋_GB2312"/>
          <w:sz w:val="32"/>
          <w:szCs w:val="32"/>
        </w:rPr>
        <w:t>经费支出合计</w:t>
      </w:r>
      <w:r>
        <w:rPr>
          <w:rFonts w:hint="eastAsia" w:ascii="仿宋_GB2312" w:hAnsi="仿宋" w:eastAsia="仿宋_GB2312"/>
          <w:sz w:val="32"/>
          <w:szCs w:val="32"/>
          <w:lang w:val="en-US" w:eastAsia="zh-CN"/>
        </w:rPr>
        <w:t>91.13</w:t>
      </w:r>
      <w:r>
        <w:rPr>
          <w:rFonts w:hint="eastAsia" w:ascii="仿宋_GB2312" w:hAnsi="仿宋" w:eastAsia="仿宋_GB2312"/>
          <w:sz w:val="32"/>
          <w:szCs w:val="32"/>
        </w:rPr>
        <w:t>万元，较上年支出降幅</w:t>
      </w:r>
      <w:r>
        <w:rPr>
          <w:rFonts w:hint="eastAsia" w:ascii="仿宋_GB2312" w:hAnsi="仿宋" w:eastAsia="仿宋_GB2312"/>
          <w:sz w:val="32"/>
          <w:szCs w:val="32"/>
          <w:lang w:val="en-US" w:eastAsia="zh-CN"/>
        </w:rPr>
        <w:t>21</w:t>
      </w:r>
      <w:r>
        <w:rPr>
          <w:rFonts w:hint="eastAsia" w:ascii="仿宋_GB2312" w:hAnsi="仿宋" w:eastAsia="仿宋_GB2312"/>
          <w:sz w:val="32"/>
          <w:szCs w:val="32"/>
        </w:rPr>
        <w:t>%。2016年无新购置公务用车</w:t>
      </w:r>
      <w:r>
        <w:rPr>
          <w:rFonts w:hint="eastAsia" w:ascii="仿宋_GB2312" w:eastAsia="仿宋_GB2312"/>
          <w:sz w:val="32"/>
          <w:szCs w:val="32"/>
        </w:rPr>
        <w:t>。公务用车运行维护费</w:t>
      </w:r>
      <w:r>
        <w:rPr>
          <w:rFonts w:hint="eastAsia" w:ascii="仿宋_GB2312" w:eastAsia="仿宋_GB2312"/>
          <w:sz w:val="32"/>
          <w:szCs w:val="32"/>
          <w:lang w:val="en-US" w:eastAsia="zh-CN"/>
        </w:rPr>
        <w:t>38.36</w:t>
      </w:r>
      <w:r>
        <w:rPr>
          <w:rFonts w:hint="eastAsia" w:ascii="仿宋_GB2312" w:eastAsia="仿宋_GB2312"/>
          <w:sz w:val="32"/>
          <w:szCs w:val="32"/>
        </w:rPr>
        <w:t>万元；因公出国支出</w:t>
      </w:r>
      <w:r>
        <w:rPr>
          <w:rFonts w:ascii="仿宋_GB2312" w:eastAsia="仿宋_GB2312"/>
          <w:sz w:val="32"/>
          <w:szCs w:val="32"/>
        </w:rPr>
        <w:t>33.4</w:t>
      </w:r>
      <w:r>
        <w:rPr>
          <w:rFonts w:hint="eastAsia" w:ascii="仿宋_GB2312" w:eastAsia="仿宋_GB2312"/>
          <w:sz w:val="32"/>
          <w:szCs w:val="32"/>
          <w:lang w:val="en-US" w:eastAsia="zh-CN"/>
        </w:rPr>
        <w:t>0</w:t>
      </w:r>
      <w:r>
        <w:rPr>
          <w:rFonts w:hint="eastAsia" w:ascii="仿宋_GB2312" w:eastAsia="仿宋_GB2312"/>
          <w:sz w:val="32"/>
          <w:szCs w:val="32"/>
        </w:rPr>
        <w:t>万元，组团</w:t>
      </w:r>
      <w:r>
        <w:rPr>
          <w:rFonts w:hint="eastAsia" w:ascii="仿宋_GB2312" w:eastAsia="仿宋_GB2312"/>
          <w:sz w:val="32"/>
          <w:szCs w:val="32"/>
          <w:lang w:val="en-US" w:eastAsia="zh-CN"/>
        </w:rPr>
        <w:t>7</w:t>
      </w:r>
      <w:r>
        <w:rPr>
          <w:rFonts w:hint="eastAsia" w:ascii="仿宋_GB2312" w:eastAsia="仿宋_GB2312"/>
          <w:sz w:val="32"/>
          <w:szCs w:val="32"/>
        </w:rPr>
        <w:t>次，</w:t>
      </w:r>
      <w:r>
        <w:rPr>
          <w:rFonts w:hint="eastAsia" w:ascii="仿宋_GB2312" w:eastAsia="仿宋_GB2312"/>
          <w:sz w:val="32"/>
          <w:szCs w:val="32"/>
          <w:lang w:val="en-US" w:eastAsia="zh-CN"/>
        </w:rPr>
        <w:t>15</w:t>
      </w:r>
      <w:r>
        <w:rPr>
          <w:rFonts w:hint="eastAsia" w:ascii="仿宋_GB2312" w:eastAsia="仿宋_GB2312"/>
          <w:sz w:val="32"/>
          <w:szCs w:val="32"/>
        </w:rPr>
        <w:t>人次；公务接待支出</w:t>
      </w:r>
      <w:r>
        <w:rPr>
          <w:rFonts w:ascii="仿宋_GB2312" w:eastAsia="仿宋_GB2312"/>
          <w:sz w:val="32"/>
          <w:szCs w:val="32"/>
        </w:rPr>
        <w:t>19.</w:t>
      </w:r>
      <w:r>
        <w:rPr>
          <w:rFonts w:hint="eastAsia" w:ascii="仿宋_GB2312" w:eastAsia="仿宋_GB2312"/>
          <w:sz w:val="32"/>
          <w:szCs w:val="32"/>
          <w:lang w:val="en-US" w:eastAsia="zh-CN"/>
        </w:rPr>
        <w:t>36</w:t>
      </w:r>
      <w:r>
        <w:rPr>
          <w:rFonts w:hint="eastAsia" w:ascii="仿宋_GB2312" w:eastAsia="仿宋_GB2312"/>
          <w:sz w:val="32"/>
          <w:szCs w:val="32"/>
        </w:rPr>
        <w:t>万元</w:t>
      </w:r>
      <w:r>
        <w:rPr>
          <w:rFonts w:hint="eastAsia" w:ascii="仿宋_GB2312" w:eastAsia="仿宋_GB2312"/>
          <w:sz w:val="32"/>
          <w:szCs w:val="32"/>
          <w:lang w:val="en-US" w:eastAsia="zh-CN"/>
        </w:rPr>
        <w:t>,189</w:t>
      </w:r>
      <w:r>
        <w:rPr>
          <w:rFonts w:hint="eastAsia" w:ascii="仿宋_GB2312" w:eastAsia="仿宋_GB2312"/>
          <w:sz w:val="32"/>
          <w:szCs w:val="32"/>
        </w:rPr>
        <w:t>批次</w:t>
      </w:r>
      <w:r>
        <w:rPr>
          <w:rFonts w:hint="eastAsia" w:ascii="仿宋_GB2312" w:eastAsia="仿宋_GB2312"/>
          <w:sz w:val="32"/>
          <w:szCs w:val="32"/>
          <w:lang w:eastAsia="zh-CN"/>
        </w:rPr>
        <w:t>、</w:t>
      </w:r>
      <w:r>
        <w:rPr>
          <w:rFonts w:hint="eastAsia" w:ascii="仿宋_GB2312" w:eastAsia="仿宋_GB2312"/>
          <w:sz w:val="32"/>
          <w:szCs w:val="32"/>
          <w:lang w:val="en-US" w:eastAsia="zh-CN"/>
        </w:rPr>
        <w:t>1720</w:t>
      </w:r>
      <w:r>
        <w:rPr>
          <w:rFonts w:hint="eastAsia" w:ascii="仿宋_GB2312" w:eastAsia="仿宋_GB2312"/>
          <w:sz w:val="32"/>
          <w:szCs w:val="32"/>
        </w:rPr>
        <w:t>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pacing w:val="0"/>
          <w:position w:val="0"/>
          <w:sz w:val="32"/>
          <w:shd w:val="clear" w:fill="auto"/>
          <w:lang w:val="en-US" w:eastAsia="zh-CN"/>
        </w:rPr>
      </w:pPr>
      <w:r>
        <w:rPr>
          <w:rFonts w:hint="eastAsia" w:ascii="黑体" w:hAnsi="黑体" w:eastAsia="黑体" w:cs="黑体"/>
          <w:color w:val="auto"/>
          <w:spacing w:val="0"/>
          <w:position w:val="0"/>
          <w:sz w:val="32"/>
          <w:shd w:val="clear" w:fill="auto"/>
          <w:lang w:val="en-US" w:eastAsia="zh-CN"/>
        </w:rPr>
        <w:t>七、专业名词解释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（一）财政拨款收入：指省级财政当年拨付的资金。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eastAsia="zh-CN"/>
        </w:rPr>
        <w:t>（二）其他收入：</w:t>
      </w:r>
      <w:r>
        <w:rPr>
          <w:rFonts w:hint="eastAsia" w:ascii="仿宋_GB2312" w:hAnsi="仿宋" w:eastAsia="仿宋_GB2312" w:cs="Times New Roman"/>
          <w:bCs/>
          <w:color w:val="000000"/>
          <w:sz w:val="32"/>
          <w:szCs w:val="32"/>
          <w:lang w:val="en-US" w:eastAsia="zh-CN"/>
        </w:rPr>
        <w:t>指除财政拨款收入以外的收入。主要是存款利息收入、审计署拨入经费等。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val="en-US" w:eastAsia="zh-CN"/>
        </w:rPr>
        <w:t>（三）年初结转和结余：指以前年度尚未完成，结转到本年度按有关规定继续使用的资金。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val="en-US" w:eastAsia="zh-CN"/>
        </w:rPr>
        <w:t>（四）行政运行支出：指省审计厅机关用于保障机构正常运行、开展日常工作的基本支出。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val="en-US" w:eastAsia="zh-CN"/>
        </w:rPr>
        <w:t>（五）事业运行支出：指机关所属事业单位用于保障单位正常运行、开展日常工作支出。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val="en-US" w:eastAsia="zh-CN"/>
        </w:rPr>
        <w:t>（六）审计业务支出：指省审计厅用于审计、专项审计调查、聘请社会审计组织人员等方面的支出。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val="en-US" w:eastAsia="zh-CN"/>
        </w:rPr>
        <w:t>（七）审计管理支出：指省审计厅用于干部教育培训、审计宣传与调研、审计法制建设、审计质量控制等方面的支出。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bCs/>
          <w:color w:val="000000"/>
          <w:sz w:val="32"/>
          <w:szCs w:val="32"/>
          <w:lang w:val="en-US" w:eastAsia="zh-CN"/>
        </w:rPr>
      </w:pPr>
      <w:r>
        <w:rPr>
          <w:rFonts w:hint="eastAsia" w:ascii="仿宋_GB2312" w:hAnsi="仿宋" w:eastAsia="仿宋_GB2312" w:cs="Times New Roman"/>
          <w:bCs/>
          <w:color w:val="000000"/>
          <w:sz w:val="32"/>
          <w:szCs w:val="32"/>
          <w:lang w:val="en-US" w:eastAsia="zh-CN"/>
        </w:rPr>
        <w:t>（八）信息化建设支出：指省审计厅用于信息化建设方面的支出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hAnsi="仿宋" w:eastAsia="仿宋_GB2312" w:cs="Times New Roman"/>
          <w:bCs/>
          <w:color w:val="000000"/>
          <w:sz w:val="32"/>
          <w:szCs w:val="32"/>
          <w:lang w:val="en-US" w:eastAsia="zh-CN"/>
        </w:rPr>
        <w:t>（九）其他审计事务支出：指省审计厅除上述项目外，开展其他审计事务方面专门性工作的项目支出。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eastAsia="仿宋_GB2312"/>
          <w:snapToGrid w:val="0"/>
          <w:kern w:val="0"/>
          <w:szCs w:val="32"/>
        </w:rPr>
      </w:pPr>
      <w:r>
        <w:rPr>
          <w:rFonts w:hint="eastAsia" w:ascii="仿宋_GB2312" w:eastAsia="仿宋_GB2312"/>
          <w:snapToGrid w:val="0"/>
          <w:kern w:val="0"/>
          <w:szCs w:val="32"/>
        </w:rPr>
        <w:t>附件：1.收入支出决算总表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eastAsia="仿宋_GB2312"/>
          <w:snapToGrid w:val="0"/>
          <w:kern w:val="0"/>
          <w:szCs w:val="32"/>
        </w:rPr>
      </w:pPr>
      <w:r>
        <w:rPr>
          <w:rFonts w:hint="eastAsia" w:ascii="仿宋_GB2312" w:eastAsia="仿宋_GB2312"/>
          <w:snapToGrid w:val="0"/>
          <w:kern w:val="0"/>
          <w:szCs w:val="32"/>
        </w:rPr>
        <w:t xml:space="preserve">      2.收入决算表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eastAsia="仿宋_GB2312"/>
          <w:snapToGrid w:val="0"/>
          <w:kern w:val="0"/>
          <w:szCs w:val="32"/>
        </w:rPr>
      </w:pPr>
      <w:r>
        <w:rPr>
          <w:rFonts w:hint="eastAsia" w:ascii="仿宋_GB2312" w:eastAsia="仿宋_GB2312"/>
          <w:snapToGrid w:val="0"/>
          <w:kern w:val="0"/>
          <w:szCs w:val="32"/>
        </w:rPr>
        <w:t>3.支出决算表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eastAsia="仿宋_GB2312"/>
          <w:snapToGrid w:val="0"/>
          <w:kern w:val="0"/>
          <w:szCs w:val="32"/>
        </w:rPr>
      </w:pPr>
      <w:r>
        <w:rPr>
          <w:rFonts w:hint="eastAsia" w:ascii="仿宋_GB2312" w:eastAsia="仿宋_GB2312"/>
          <w:snapToGrid w:val="0"/>
          <w:kern w:val="0"/>
          <w:szCs w:val="32"/>
        </w:rPr>
        <w:t>4.财政拨款收入支出决算总表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eastAsia="仿宋_GB2312"/>
          <w:snapToGrid w:val="0"/>
          <w:kern w:val="0"/>
          <w:szCs w:val="32"/>
        </w:rPr>
      </w:pPr>
      <w:r>
        <w:rPr>
          <w:rFonts w:hint="eastAsia" w:ascii="仿宋_GB2312" w:eastAsia="仿宋_GB2312"/>
          <w:snapToGrid w:val="0"/>
          <w:kern w:val="0"/>
          <w:szCs w:val="32"/>
        </w:rPr>
        <w:t>5.一般公共预算财政拨款支出决算表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eastAsia="仿宋_GB2312"/>
          <w:snapToGrid w:val="0"/>
          <w:kern w:val="0"/>
          <w:szCs w:val="32"/>
        </w:rPr>
      </w:pPr>
      <w:r>
        <w:rPr>
          <w:rFonts w:hint="eastAsia" w:ascii="仿宋_GB2312" w:eastAsia="仿宋_GB2312"/>
          <w:snapToGrid w:val="0"/>
          <w:kern w:val="0"/>
          <w:szCs w:val="32"/>
        </w:rPr>
        <w:t>6.一般公共预算财政拨款基本支出决算表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eastAsia="仿宋_GB2312"/>
          <w:snapToGrid w:val="0"/>
          <w:kern w:val="0"/>
          <w:szCs w:val="32"/>
        </w:rPr>
      </w:pPr>
      <w:r>
        <w:rPr>
          <w:rFonts w:hint="eastAsia" w:ascii="仿宋_GB2312" w:eastAsia="仿宋_GB2312"/>
          <w:snapToGrid w:val="0"/>
          <w:kern w:val="0"/>
          <w:szCs w:val="32"/>
        </w:rPr>
        <w:t>7.财政拨款“三公”经费支出决算表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eastAsia="仿宋_GB2312"/>
          <w:snapToGrid w:val="0"/>
          <w:kern w:val="0"/>
          <w:szCs w:val="32"/>
        </w:rPr>
      </w:pPr>
      <w:r>
        <w:rPr>
          <w:rFonts w:hint="eastAsia" w:ascii="仿宋_GB2312" w:eastAsia="仿宋_GB2312"/>
          <w:snapToGrid w:val="0"/>
          <w:kern w:val="0"/>
          <w:szCs w:val="32"/>
        </w:rPr>
        <w:t>8.政府性基金预算财政拨款收入支出决算表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rPr>
          <w:rFonts w:hint="eastAsia" w:ascii="仿宋_GB2312" w:eastAsia="仿宋_GB2312"/>
          <w:snapToGrid w:val="0"/>
          <w:kern w:val="0"/>
          <w:szCs w:val="32"/>
        </w:rPr>
      </w:pPr>
      <w:bookmarkStart w:id="1" w:name="_GoBack"/>
      <w:bookmarkEnd w:id="1"/>
      <w:r>
        <w:rPr>
          <w:rFonts w:hint="eastAsia" w:ascii="仿宋_GB2312" w:eastAsia="仿宋_GB2312"/>
          <w:snapToGrid w:val="0"/>
          <w:kern w:val="0"/>
          <w:szCs w:val="32"/>
        </w:rPr>
        <w:t>湖北省审计厅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960" w:firstLineChars="1550"/>
        <w:textAlignment w:val="auto"/>
        <w:rPr>
          <w:rFonts w:hint="eastAsia" w:ascii="仿宋_GB2312" w:eastAsia="仿宋_GB2312"/>
          <w:snapToGrid w:val="0"/>
          <w:kern w:val="0"/>
          <w:szCs w:val="32"/>
        </w:rPr>
      </w:pPr>
      <w:r>
        <w:rPr>
          <w:rFonts w:hint="eastAsia" w:ascii="仿宋_GB2312" w:eastAsia="仿宋_GB2312"/>
          <w:snapToGrid w:val="0"/>
          <w:kern w:val="0"/>
          <w:szCs w:val="32"/>
        </w:rPr>
        <w:t>201</w:t>
      </w:r>
      <w:r>
        <w:rPr>
          <w:rFonts w:hint="eastAsia" w:ascii="仿宋_GB2312" w:eastAsia="仿宋_GB2312"/>
          <w:snapToGrid w:val="0"/>
          <w:kern w:val="0"/>
          <w:szCs w:val="32"/>
          <w:lang w:val="en-US" w:eastAsia="zh-CN"/>
        </w:rPr>
        <w:t>7</w:t>
      </w:r>
      <w:r>
        <w:rPr>
          <w:rFonts w:hint="eastAsia" w:ascii="仿宋_GB2312" w:eastAsia="仿宋_GB2312"/>
          <w:snapToGrid w:val="0"/>
          <w:kern w:val="0"/>
          <w:szCs w:val="32"/>
        </w:rPr>
        <w:t>年9月5日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eastAsia="仿宋_GB2312"/>
          <w:snapToGrid w:val="0"/>
          <w:kern w:val="0"/>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560" w:lineRule="exact"/>
        <w:rPr>
          <w:rFonts w:hint="eastAsia" w:ascii="仿宋_GB2312" w:eastAsia="仿宋_GB2312"/>
          <w:snapToGrid w:val="0"/>
          <w:kern w:val="0"/>
          <w:szCs w:val="32"/>
        </w:rPr>
      </w:pPr>
      <w:r>
        <w:rPr>
          <w:rFonts w:hint="eastAsia" w:ascii="仿宋_GB2312" w:eastAsia="仿宋_GB2312"/>
          <w:snapToGrid w:val="0"/>
          <w:kern w:val="0"/>
          <w:szCs w:val="32"/>
        </w:rPr>
        <w:t>附件1：</w:t>
      </w:r>
    </w:p>
    <w:tbl>
      <w:tblPr>
        <w:tblStyle w:val="5"/>
        <w:tblW w:w="12462" w:type="dxa"/>
        <w:jc w:val="center"/>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87"/>
        <w:gridCol w:w="510"/>
        <w:gridCol w:w="3289"/>
        <w:gridCol w:w="2789"/>
        <w:gridCol w:w="510"/>
        <w:gridCol w:w="2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jc w:val="center"/>
        </w:trPr>
        <w:tc>
          <w:tcPr>
            <w:tcW w:w="12462" w:type="dxa"/>
            <w:gridSpan w:val="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表一  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3187" w:type="dxa"/>
            <w:shd w:val="clear" w:color="auto" w:fill="auto"/>
            <w:vAlign w:val="bottom"/>
          </w:tcPr>
          <w:p>
            <w:pPr>
              <w:rPr>
                <w:rFonts w:hint="eastAsia" w:ascii="Arial" w:hAnsi="Arial" w:cs="Arial"/>
                <w:i w:val="0"/>
                <w:color w:val="000000"/>
                <w:sz w:val="20"/>
                <w:szCs w:val="20"/>
                <w:u w:val="none"/>
              </w:rPr>
            </w:pPr>
          </w:p>
        </w:tc>
        <w:tc>
          <w:tcPr>
            <w:tcW w:w="510" w:type="dxa"/>
            <w:shd w:val="clear" w:color="auto" w:fill="auto"/>
            <w:vAlign w:val="bottom"/>
          </w:tcPr>
          <w:p>
            <w:pPr>
              <w:rPr>
                <w:rFonts w:hint="default" w:ascii="Arial" w:hAnsi="Arial" w:cs="Arial"/>
                <w:i w:val="0"/>
                <w:color w:val="000000"/>
                <w:sz w:val="20"/>
                <w:szCs w:val="20"/>
                <w:u w:val="none"/>
              </w:rPr>
            </w:pPr>
          </w:p>
        </w:tc>
        <w:tc>
          <w:tcPr>
            <w:tcW w:w="3289" w:type="dxa"/>
            <w:shd w:val="clear" w:color="auto" w:fill="auto"/>
            <w:vAlign w:val="bottom"/>
          </w:tcPr>
          <w:p>
            <w:pPr>
              <w:rPr>
                <w:rFonts w:hint="default" w:ascii="Arial" w:hAnsi="Arial" w:cs="Arial"/>
                <w:i w:val="0"/>
                <w:color w:val="000000"/>
                <w:sz w:val="20"/>
                <w:szCs w:val="20"/>
                <w:u w:val="none"/>
              </w:rPr>
            </w:pPr>
          </w:p>
        </w:tc>
        <w:tc>
          <w:tcPr>
            <w:tcW w:w="2789" w:type="dxa"/>
            <w:shd w:val="clear" w:color="auto" w:fill="auto"/>
            <w:vAlign w:val="bottom"/>
          </w:tcPr>
          <w:p>
            <w:pPr>
              <w:rPr>
                <w:rFonts w:hint="default" w:ascii="Arial" w:hAnsi="Arial" w:cs="Arial"/>
                <w:i w:val="0"/>
                <w:color w:val="000000"/>
                <w:sz w:val="20"/>
                <w:szCs w:val="20"/>
                <w:u w:val="none"/>
              </w:rPr>
            </w:pPr>
          </w:p>
        </w:tc>
        <w:tc>
          <w:tcPr>
            <w:tcW w:w="510" w:type="dxa"/>
            <w:shd w:val="clear" w:color="auto" w:fill="auto"/>
            <w:vAlign w:val="bottom"/>
          </w:tcPr>
          <w:p>
            <w:pPr>
              <w:rPr>
                <w:rFonts w:hint="default" w:ascii="Arial" w:hAnsi="Arial" w:cs="Arial"/>
                <w:i w:val="0"/>
                <w:color w:val="000000"/>
                <w:sz w:val="20"/>
                <w:szCs w:val="20"/>
                <w:u w:val="none"/>
              </w:rPr>
            </w:pPr>
          </w:p>
        </w:tc>
        <w:tc>
          <w:tcPr>
            <w:tcW w:w="217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3187"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510" w:type="dxa"/>
            <w:shd w:val="clear" w:color="auto" w:fill="auto"/>
            <w:vAlign w:val="bottom"/>
          </w:tcPr>
          <w:p>
            <w:pPr>
              <w:rPr>
                <w:rFonts w:hint="default" w:ascii="Arial" w:hAnsi="Arial" w:cs="Arial"/>
                <w:i w:val="0"/>
                <w:color w:val="000000"/>
                <w:sz w:val="20"/>
                <w:szCs w:val="20"/>
                <w:u w:val="none"/>
              </w:rPr>
            </w:pPr>
          </w:p>
        </w:tc>
        <w:tc>
          <w:tcPr>
            <w:tcW w:w="3289" w:type="dxa"/>
            <w:shd w:val="clear" w:color="auto" w:fill="auto"/>
            <w:vAlign w:val="bottom"/>
          </w:tcPr>
          <w:p>
            <w:pPr>
              <w:rPr>
                <w:rFonts w:hint="default" w:ascii="Arial" w:hAnsi="Arial" w:cs="Arial"/>
                <w:i w:val="0"/>
                <w:color w:val="000000"/>
                <w:sz w:val="20"/>
                <w:szCs w:val="20"/>
                <w:u w:val="none"/>
              </w:rPr>
            </w:pPr>
          </w:p>
        </w:tc>
        <w:tc>
          <w:tcPr>
            <w:tcW w:w="2789" w:type="dxa"/>
            <w:shd w:val="clear" w:color="auto" w:fill="auto"/>
            <w:vAlign w:val="bottom"/>
          </w:tcPr>
          <w:p>
            <w:pPr>
              <w:rPr>
                <w:rFonts w:hint="default" w:ascii="Arial" w:hAnsi="Arial" w:cs="Arial"/>
                <w:i w:val="0"/>
                <w:color w:val="000000"/>
                <w:sz w:val="20"/>
                <w:szCs w:val="20"/>
                <w:u w:val="none"/>
              </w:rPr>
            </w:pPr>
          </w:p>
        </w:tc>
        <w:tc>
          <w:tcPr>
            <w:tcW w:w="510" w:type="dxa"/>
            <w:shd w:val="clear" w:color="auto" w:fill="auto"/>
            <w:vAlign w:val="bottom"/>
          </w:tcPr>
          <w:p>
            <w:pPr>
              <w:rPr>
                <w:rFonts w:hint="default" w:ascii="Arial" w:hAnsi="Arial" w:cs="Arial"/>
                <w:i w:val="0"/>
                <w:color w:val="000000"/>
                <w:sz w:val="20"/>
                <w:szCs w:val="20"/>
                <w:u w:val="none"/>
              </w:rPr>
            </w:pPr>
          </w:p>
        </w:tc>
        <w:tc>
          <w:tcPr>
            <w:tcW w:w="217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69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4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13,236.36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其中：政府性基金预算财政拨款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15,625.54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用事业基金弥补收支差额</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15,713.29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2462"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r>
        <w:br w:type="page"/>
      </w:r>
    </w:p>
    <w:p>
      <w:pPr>
        <w:rPr>
          <w:rFonts w:hint="eastAsia" w:ascii="仿宋_GB2312" w:eastAsia="仿宋_GB2312"/>
          <w:snapToGrid w:val="0"/>
          <w:kern w:val="0"/>
          <w:szCs w:val="32"/>
        </w:rPr>
      </w:pPr>
      <w:r>
        <w:rPr>
          <w:rFonts w:hint="eastAsia" w:ascii="仿宋_GB2312" w:eastAsia="仿宋_GB2312"/>
          <w:snapToGrid w:val="0"/>
          <w:kern w:val="0"/>
          <w:szCs w:val="32"/>
        </w:rPr>
        <w:t>附件2：</w:t>
      </w:r>
    </w:p>
    <w:tbl>
      <w:tblPr>
        <w:tblStyle w:val="5"/>
        <w:tblW w:w="14069" w:type="dxa"/>
        <w:jc w:val="center"/>
        <w:tblInd w:w="-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47"/>
        <w:gridCol w:w="947"/>
        <w:gridCol w:w="3846"/>
        <w:gridCol w:w="1785"/>
        <w:gridCol w:w="1022"/>
        <w:gridCol w:w="1290"/>
        <w:gridCol w:w="951"/>
        <w:gridCol w:w="951"/>
        <w:gridCol w:w="951"/>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jc w:val="center"/>
        </w:trPr>
        <w:tc>
          <w:tcPr>
            <w:tcW w:w="14069" w:type="dxa"/>
            <w:gridSpan w:val="11"/>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表二  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32" w:type="dxa"/>
            <w:shd w:val="clear" w:color="auto" w:fill="auto"/>
            <w:vAlign w:val="bottom"/>
          </w:tcPr>
          <w:p>
            <w:pPr>
              <w:rPr>
                <w:rFonts w:hint="eastAsia" w:ascii="Arial" w:hAnsi="Arial" w:cs="Arial"/>
                <w:i w:val="0"/>
                <w:color w:val="000000"/>
                <w:sz w:val="20"/>
                <w:szCs w:val="20"/>
                <w:u w:val="none"/>
              </w:rPr>
            </w:pPr>
          </w:p>
        </w:tc>
        <w:tc>
          <w:tcPr>
            <w:tcW w:w="947" w:type="dxa"/>
            <w:shd w:val="clear" w:color="auto" w:fill="auto"/>
            <w:vAlign w:val="bottom"/>
          </w:tcPr>
          <w:p>
            <w:pPr>
              <w:rPr>
                <w:rFonts w:hint="default" w:ascii="Arial" w:hAnsi="Arial" w:cs="Arial"/>
                <w:i w:val="0"/>
                <w:color w:val="000000"/>
                <w:sz w:val="20"/>
                <w:szCs w:val="20"/>
                <w:u w:val="none"/>
              </w:rPr>
            </w:pPr>
          </w:p>
        </w:tc>
        <w:tc>
          <w:tcPr>
            <w:tcW w:w="947" w:type="dxa"/>
            <w:shd w:val="clear" w:color="auto" w:fill="auto"/>
            <w:vAlign w:val="bottom"/>
          </w:tcPr>
          <w:p>
            <w:pPr>
              <w:rPr>
                <w:rFonts w:hint="default" w:ascii="Arial" w:hAnsi="Arial" w:cs="Arial"/>
                <w:i w:val="0"/>
                <w:color w:val="000000"/>
                <w:sz w:val="20"/>
                <w:szCs w:val="20"/>
                <w:u w:val="none"/>
              </w:rPr>
            </w:pPr>
          </w:p>
        </w:tc>
        <w:tc>
          <w:tcPr>
            <w:tcW w:w="3846" w:type="dxa"/>
            <w:shd w:val="clear" w:color="auto" w:fill="auto"/>
            <w:vAlign w:val="bottom"/>
          </w:tcPr>
          <w:p>
            <w:pPr>
              <w:rPr>
                <w:rFonts w:hint="default" w:ascii="Arial" w:hAnsi="Arial" w:cs="Arial"/>
                <w:i w:val="0"/>
                <w:color w:val="000000"/>
                <w:sz w:val="20"/>
                <w:szCs w:val="20"/>
                <w:u w:val="none"/>
              </w:rPr>
            </w:pPr>
          </w:p>
        </w:tc>
        <w:tc>
          <w:tcPr>
            <w:tcW w:w="1785" w:type="dxa"/>
            <w:shd w:val="clear" w:color="auto" w:fill="auto"/>
            <w:vAlign w:val="bottom"/>
          </w:tcPr>
          <w:p>
            <w:pPr>
              <w:rPr>
                <w:rFonts w:hint="default" w:ascii="Arial" w:hAnsi="Arial" w:cs="Arial"/>
                <w:i w:val="0"/>
                <w:color w:val="000000"/>
                <w:sz w:val="20"/>
                <w:szCs w:val="20"/>
                <w:u w:val="none"/>
              </w:rPr>
            </w:pPr>
          </w:p>
        </w:tc>
        <w:tc>
          <w:tcPr>
            <w:tcW w:w="1022" w:type="dxa"/>
            <w:shd w:val="clear" w:color="auto" w:fill="auto"/>
            <w:vAlign w:val="bottom"/>
          </w:tcPr>
          <w:p>
            <w:pPr>
              <w:rPr>
                <w:rFonts w:hint="default" w:ascii="Arial" w:hAnsi="Arial" w:cs="Arial"/>
                <w:i w:val="0"/>
                <w:color w:val="000000"/>
                <w:sz w:val="20"/>
                <w:szCs w:val="20"/>
                <w:u w:val="none"/>
              </w:rPr>
            </w:pPr>
          </w:p>
        </w:tc>
        <w:tc>
          <w:tcPr>
            <w:tcW w:w="1290" w:type="dxa"/>
            <w:shd w:val="clear" w:color="auto" w:fill="auto"/>
            <w:vAlign w:val="bottom"/>
          </w:tcPr>
          <w:p>
            <w:pPr>
              <w:rPr>
                <w:rFonts w:hint="default" w:ascii="Arial" w:hAnsi="Arial" w:cs="Arial"/>
                <w:i w:val="0"/>
                <w:color w:val="000000"/>
                <w:sz w:val="20"/>
                <w:szCs w:val="20"/>
                <w:u w:val="none"/>
              </w:rPr>
            </w:pPr>
          </w:p>
        </w:tc>
        <w:tc>
          <w:tcPr>
            <w:tcW w:w="951" w:type="dxa"/>
            <w:shd w:val="clear" w:color="auto" w:fill="auto"/>
            <w:vAlign w:val="bottom"/>
          </w:tcPr>
          <w:p>
            <w:pPr>
              <w:rPr>
                <w:rFonts w:hint="default" w:ascii="Arial" w:hAnsi="Arial" w:cs="Arial"/>
                <w:i w:val="0"/>
                <w:color w:val="000000"/>
                <w:sz w:val="20"/>
                <w:szCs w:val="20"/>
                <w:u w:val="none"/>
              </w:rPr>
            </w:pPr>
          </w:p>
        </w:tc>
        <w:tc>
          <w:tcPr>
            <w:tcW w:w="951" w:type="dxa"/>
            <w:shd w:val="clear" w:color="auto" w:fill="auto"/>
            <w:vAlign w:val="bottom"/>
          </w:tcPr>
          <w:p>
            <w:pPr>
              <w:rPr>
                <w:rFonts w:hint="default" w:ascii="Arial" w:hAnsi="Arial" w:cs="Arial"/>
                <w:i w:val="0"/>
                <w:color w:val="000000"/>
                <w:sz w:val="20"/>
                <w:szCs w:val="20"/>
                <w:u w:val="none"/>
              </w:rPr>
            </w:pPr>
          </w:p>
        </w:tc>
        <w:tc>
          <w:tcPr>
            <w:tcW w:w="951" w:type="dxa"/>
            <w:shd w:val="clear" w:color="auto" w:fill="auto"/>
            <w:vAlign w:val="bottom"/>
          </w:tcPr>
          <w:p>
            <w:pPr>
              <w:rPr>
                <w:rFonts w:hint="default" w:ascii="Arial" w:hAnsi="Arial" w:cs="Arial"/>
                <w:i w:val="0"/>
                <w:color w:val="000000"/>
                <w:sz w:val="20"/>
                <w:szCs w:val="20"/>
                <w:u w:val="none"/>
              </w:rPr>
            </w:pPr>
          </w:p>
        </w:tc>
        <w:tc>
          <w:tcPr>
            <w:tcW w:w="94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172"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1785" w:type="dxa"/>
            <w:shd w:val="clear" w:color="auto" w:fill="auto"/>
            <w:vAlign w:val="bottom"/>
          </w:tcPr>
          <w:p>
            <w:pPr>
              <w:rPr>
                <w:rFonts w:hint="default" w:ascii="Arial" w:hAnsi="Arial" w:cs="Arial"/>
                <w:i w:val="0"/>
                <w:color w:val="000000"/>
                <w:sz w:val="20"/>
                <w:szCs w:val="20"/>
                <w:u w:val="none"/>
              </w:rPr>
            </w:pPr>
          </w:p>
        </w:tc>
        <w:tc>
          <w:tcPr>
            <w:tcW w:w="1022" w:type="dxa"/>
            <w:shd w:val="clear" w:color="auto" w:fill="auto"/>
            <w:vAlign w:val="bottom"/>
          </w:tcPr>
          <w:p>
            <w:pPr>
              <w:rPr>
                <w:rFonts w:hint="default" w:ascii="Arial" w:hAnsi="Arial" w:cs="Arial"/>
                <w:i w:val="0"/>
                <w:color w:val="000000"/>
                <w:sz w:val="20"/>
                <w:szCs w:val="20"/>
                <w:u w:val="none"/>
              </w:rPr>
            </w:pPr>
          </w:p>
        </w:tc>
        <w:tc>
          <w:tcPr>
            <w:tcW w:w="1290" w:type="dxa"/>
            <w:shd w:val="clear" w:color="auto" w:fill="auto"/>
            <w:vAlign w:val="bottom"/>
          </w:tcPr>
          <w:p>
            <w:pPr>
              <w:rPr>
                <w:rFonts w:hint="default" w:ascii="Arial" w:hAnsi="Arial" w:cs="Arial"/>
                <w:i w:val="0"/>
                <w:color w:val="000000"/>
                <w:sz w:val="20"/>
                <w:szCs w:val="20"/>
                <w:u w:val="none"/>
              </w:rPr>
            </w:pPr>
          </w:p>
        </w:tc>
        <w:tc>
          <w:tcPr>
            <w:tcW w:w="951" w:type="dxa"/>
            <w:shd w:val="clear" w:color="auto" w:fill="auto"/>
            <w:vAlign w:val="bottom"/>
          </w:tcPr>
          <w:p>
            <w:pPr>
              <w:rPr>
                <w:rFonts w:hint="default" w:ascii="Arial" w:hAnsi="Arial" w:cs="Arial"/>
                <w:i w:val="0"/>
                <w:color w:val="000000"/>
                <w:sz w:val="20"/>
                <w:szCs w:val="20"/>
                <w:u w:val="none"/>
              </w:rPr>
            </w:pPr>
          </w:p>
        </w:tc>
        <w:tc>
          <w:tcPr>
            <w:tcW w:w="951" w:type="dxa"/>
            <w:shd w:val="clear" w:color="auto" w:fill="auto"/>
            <w:vAlign w:val="bottom"/>
          </w:tcPr>
          <w:p>
            <w:pPr>
              <w:rPr>
                <w:rFonts w:hint="default" w:ascii="Arial" w:hAnsi="Arial" w:cs="Arial"/>
                <w:i w:val="0"/>
                <w:color w:val="000000"/>
                <w:sz w:val="20"/>
                <w:szCs w:val="20"/>
                <w:u w:val="none"/>
              </w:rPr>
            </w:pPr>
          </w:p>
        </w:tc>
        <w:tc>
          <w:tcPr>
            <w:tcW w:w="951" w:type="dxa"/>
            <w:shd w:val="clear" w:color="auto" w:fill="auto"/>
            <w:vAlign w:val="bottom"/>
          </w:tcPr>
          <w:p>
            <w:pPr>
              <w:rPr>
                <w:rFonts w:hint="default" w:ascii="Arial" w:hAnsi="Arial" w:cs="Arial"/>
                <w:i w:val="0"/>
                <w:color w:val="000000"/>
                <w:sz w:val="20"/>
                <w:szCs w:val="20"/>
                <w:u w:val="none"/>
              </w:rPr>
            </w:pPr>
          </w:p>
        </w:tc>
        <w:tc>
          <w:tcPr>
            <w:tcW w:w="94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1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61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1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15,625.54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13,860.95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13,852.42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2010499</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13,840.30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13,831.77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2010801</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2,889.01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2,881.32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2010802</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2010804</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7,203.29</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7,203.29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2010805</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审计管理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1,108.54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1,108.54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2010806</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1,563.62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1,563.62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2010850</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608.84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2010899</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其他审计事务支出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1,272.70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1,272.70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2080503</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离退休人员管理机构</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218.48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218.48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2100599</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其他医疗保障支出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406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rPr>
          <w:rFonts w:hint="eastAsia" w:ascii="仿宋_GB2312" w:eastAsia="仿宋_GB2312"/>
          <w:snapToGrid w:val="0"/>
          <w:kern w:val="0"/>
          <w:szCs w:val="32"/>
        </w:rPr>
      </w:pPr>
      <w:r>
        <w:rPr>
          <w:rFonts w:hint="eastAsia" w:ascii="仿宋_GB2312" w:eastAsia="仿宋_GB2312"/>
          <w:snapToGrid w:val="0"/>
          <w:kern w:val="0"/>
          <w:szCs w:val="32"/>
        </w:rPr>
        <w:br w:type="page"/>
      </w:r>
    </w:p>
    <w:p>
      <w:pPr>
        <w:spacing w:line="560" w:lineRule="exact"/>
        <w:rPr>
          <w:rFonts w:hint="eastAsia" w:ascii="仿宋_GB2312" w:eastAsia="仿宋_GB2312"/>
          <w:snapToGrid w:val="0"/>
          <w:kern w:val="0"/>
          <w:szCs w:val="32"/>
        </w:rPr>
      </w:pPr>
      <w:r>
        <w:rPr>
          <w:rFonts w:hint="eastAsia" w:ascii="仿宋_GB2312" w:eastAsia="仿宋_GB2312"/>
          <w:snapToGrid w:val="0"/>
          <w:kern w:val="0"/>
          <w:szCs w:val="32"/>
        </w:rPr>
        <w:t>附件3：</w:t>
      </w:r>
    </w:p>
    <w:tbl>
      <w:tblPr>
        <w:tblStyle w:val="5"/>
        <w:tblW w:w="12133" w:type="dxa"/>
        <w:jc w:val="center"/>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49"/>
        <w:gridCol w:w="949"/>
        <w:gridCol w:w="3241"/>
        <w:gridCol w:w="1790"/>
        <w:gridCol w:w="959"/>
        <w:gridCol w:w="959"/>
        <w:gridCol w:w="953"/>
        <w:gridCol w:w="953"/>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12133"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表三  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32" w:type="dxa"/>
            <w:shd w:val="clear" w:color="auto" w:fill="auto"/>
            <w:vAlign w:val="bottom"/>
          </w:tcPr>
          <w:p>
            <w:pPr>
              <w:rPr>
                <w:rFonts w:hint="eastAsia" w:ascii="Arial" w:hAnsi="Arial" w:cs="Arial"/>
                <w:i w:val="0"/>
                <w:color w:val="000000"/>
                <w:sz w:val="20"/>
                <w:szCs w:val="20"/>
                <w:u w:val="none"/>
              </w:rPr>
            </w:pPr>
          </w:p>
        </w:tc>
        <w:tc>
          <w:tcPr>
            <w:tcW w:w="949" w:type="dxa"/>
            <w:shd w:val="clear" w:color="auto" w:fill="auto"/>
            <w:vAlign w:val="bottom"/>
          </w:tcPr>
          <w:p>
            <w:pPr>
              <w:rPr>
                <w:rFonts w:hint="default" w:ascii="Arial" w:hAnsi="Arial" w:cs="Arial"/>
                <w:i w:val="0"/>
                <w:color w:val="000000"/>
                <w:sz w:val="20"/>
                <w:szCs w:val="20"/>
                <w:u w:val="none"/>
              </w:rPr>
            </w:pPr>
          </w:p>
        </w:tc>
        <w:tc>
          <w:tcPr>
            <w:tcW w:w="949" w:type="dxa"/>
            <w:shd w:val="clear" w:color="auto" w:fill="auto"/>
            <w:vAlign w:val="bottom"/>
          </w:tcPr>
          <w:p>
            <w:pPr>
              <w:rPr>
                <w:rFonts w:hint="default" w:ascii="Arial" w:hAnsi="Arial" w:cs="Arial"/>
                <w:i w:val="0"/>
                <w:color w:val="000000"/>
                <w:sz w:val="20"/>
                <w:szCs w:val="20"/>
                <w:u w:val="none"/>
              </w:rPr>
            </w:pPr>
          </w:p>
        </w:tc>
        <w:tc>
          <w:tcPr>
            <w:tcW w:w="3241" w:type="dxa"/>
            <w:shd w:val="clear" w:color="auto" w:fill="auto"/>
            <w:vAlign w:val="bottom"/>
          </w:tcPr>
          <w:p>
            <w:pPr>
              <w:rPr>
                <w:rFonts w:hint="default" w:ascii="Arial" w:hAnsi="Arial" w:cs="Arial"/>
                <w:i w:val="0"/>
                <w:color w:val="000000"/>
                <w:sz w:val="20"/>
                <w:szCs w:val="20"/>
                <w:u w:val="none"/>
              </w:rPr>
            </w:pPr>
          </w:p>
        </w:tc>
        <w:tc>
          <w:tcPr>
            <w:tcW w:w="1790"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3" w:type="dxa"/>
            <w:shd w:val="clear" w:color="auto" w:fill="auto"/>
            <w:vAlign w:val="bottom"/>
          </w:tcPr>
          <w:p>
            <w:pPr>
              <w:rPr>
                <w:rFonts w:hint="default" w:ascii="Arial" w:hAnsi="Arial" w:cs="Arial"/>
                <w:i w:val="0"/>
                <w:color w:val="000000"/>
                <w:sz w:val="20"/>
                <w:szCs w:val="20"/>
                <w:u w:val="none"/>
              </w:rPr>
            </w:pPr>
          </w:p>
        </w:tc>
        <w:tc>
          <w:tcPr>
            <w:tcW w:w="953" w:type="dxa"/>
            <w:shd w:val="clear" w:color="auto" w:fill="auto"/>
            <w:vAlign w:val="bottom"/>
          </w:tcPr>
          <w:p>
            <w:pPr>
              <w:rPr>
                <w:rFonts w:hint="default" w:ascii="Arial" w:hAnsi="Arial" w:cs="Arial"/>
                <w:i w:val="0"/>
                <w:color w:val="000000"/>
                <w:sz w:val="20"/>
                <w:szCs w:val="20"/>
                <w:u w:val="none"/>
              </w:rPr>
            </w:pPr>
          </w:p>
        </w:tc>
        <w:tc>
          <w:tcPr>
            <w:tcW w:w="94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71"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1790"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3" w:type="dxa"/>
            <w:shd w:val="clear" w:color="auto" w:fill="auto"/>
            <w:vAlign w:val="bottom"/>
          </w:tcPr>
          <w:p>
            <w:pPr>
              <w:rPr>
                <w:rFonts w:hint="default" w:ascii="Arial" w:hAnsi="Arial" w:cs="Arial"/>
                <w:i w:val="0"/>
                <w:color w:val="000000"/>
                <w:sz w:val="20"/>
                <w:szCs w:val="20"/>
                <w:u w:val="none"/>
              </w:rPr>
            </w:pPr>
          </w:p>
        </w:tc>
        <w:tc>
          <w:tcPr>
            <w:tcW w:w="953" w:type="dxa"/>
            <w:shd w:val="clear" w:color="auto" w:fill="auto"/>
            <w:vAlign w:val="bottom"/>
          </w:tcPr>
          <w:p>
            <w:pPr>
              <w:rPr>
                <w:rFonts w:hint="default" w:ascii="Arial" w:hAnsi="Arial" w:cs="Arial"/>
                <w:i w:val="0"/>
                <w:color w:val="000000"/>
                <w:sz w:val="20"/>
                <w:szCs w:val="20"/>
                <w:u w:val="none"/>
              </w:rPr>
            </w:pPr>
          </w:p>
        </w:tc>
        <w:tc>
          <w:tcPr>
            <w:tcW w:w="94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15,000.96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5,096.90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9,904.06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13,236.37</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3,577.81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9,658.56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2010499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审计事务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13,215.72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3,577.81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9,637.91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2,881.32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2,881.32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7,198.75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7,198.75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审计管理</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1,108.54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863.62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863.62</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2010850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696.49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696.49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2010899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其他审计事务支出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1,272.70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1,272.70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离退休人员管理机构</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218.48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2100599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其他医疗保障支出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2133"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rPr>
          <w:rFonts w:hint="eastAsia" w:ascii="仿宋_GB2312" w:eastAsia="仿宋_GB2312"/>
          <w:snapToGrid w:val="0"/>
          <w:kern w:val="0"/>
          <w:szCs w:val="32"/>
        </w:rPr>
      </w:pPr>
      <w:r>
        <w:rPr>
          <w:rFonts w:hint="eastAsia" w:ascii="仿宋_GB2312" w:eastAsia="仿宋_GB2312"/>
          <w:snapToGrid w:val="0"/>
          <w:kern w:val="0"/>
          <w:szCs w:val="32"/>
        </w:rPr>
        <w:br w:type="page"/>
      </w:r>
    </w:p>
    <w:p>
      <w:pPr>
        <w:spacing w:line="560" w:lineRule="exact"/>
        <w:rPr>
          <w:rFonts w:hint="eastAsia" w:ascii="仿宋_GB2312" w:eastAsia="仿宋_GB2312"/>
          <w:snapToGrid w:val="0"/>
          <w:kern w:val="0"/>
          <w:szCs w:val="32"/>
        </w:rPr>
      </w:pPr>
      <w:r>
        <w:rPr>
          <w:rFonts w:hint="eastAsia" w:ascii="仿宋_GB2312" w:eastAsia="仿宋_GB2312"/>
          <w:snapToGrid w:val="0"/>
          <w:kern w:val="0"/>
          <w:szCs w:val="32"/>
        </w:rPr>
        <w:t>附件4：</w:t>
      </w:r>
    </w:p>
    <w:tbl>
      <w:tblPr>
        <w:tblStyle w:val="5"/>
        <w:tblW w:w="12780" w:type="dxa"/>
        <w:jc w:val="center"/>
        <w:tblInd w:w="6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30"/>
        <w:gridCol w:w="485"/>
        <w:gridCol w:w="2744"/>
        <w:gridCol w:w="2581"/>
        <w:gridCol w:w="485"/>
        <w:gridCol w:w="1425"/>
        <w:gridCol w:w="1022"/>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jc w:val="center"/>
        </w:trPr>
        <w:tc>
          <w:tcPr>
            <w:tcW w:w="12780" w:type="dxa"/>
            <w:gridSpan w:val="8"/>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表四   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730" w:type="dxa"/>
            <w:shd w:val="clear" w:color="auto" w:fill="auto"/>
            <w:vAlign w:val="bottom"/>
          </w:tcPr>
          <w:p>
            <w:pPr>
              <w:rPr>
                <w:rFonts w:hint="eastAsia" w:ascii="Arial" w:hAnsi="Arial" w:cs="Arial"/>
                <w:i w:val="0"/>
                <w:color w:val="000000"/>
                <w:sz w:val="20"/>
                <w:szCs w:val="20"/>
                <w:u w:val="none"/>
              </w:rPr>
            </w:pPr>
          </w:p>
        </w:tc>
        <w:tc>
          <w:tcPr>
            <w:tcW w:w="485" w:type="dxa"/>
            <w:shd w:val="clear" w:color="auto" w:fill="auto"/>
            <w:vAlign w:val="bottom"/>
          </w:tcPr>
          <w:p>
            <w:pPr>
              <w:rPr>
                <w:rFonts w:hint="default" w:ascii="Arial" w:hAnsi="Arial" w:cs="Arial"/>
                <w:i w:val="0"/>
                <w:color w:val="000000"/>
                <w:sz w:val="20"/>
                <w:szCs w:val="20"/>
                <w:u w:val="none"/>
              </w:rPr>
            </w:pPr>
          </w:p>
        </w:tc>
        <w:tc>
          <w:tcPr>
            <w:tcW w:w="2744" w:type="dxa"/>
            <w:shd w:val="clear" w:color="auto" w:fill="auto"/>
            <w:vAlign w:val="bottom"/>
          </w:tcPr>
          <w:p>
            <w:pPr>
              <w:rPr>
                <w:rFonts w:hint="default" w:ascii="Arial" w:hAnsi="Arial" w:cs="Arial"/>
                <w:i w:val="0"/>
                <w:color w:val="000000"/>
                <w:sz w:val="20"/>
                <w:szCs w:val="20"/>
                <w:u w:val="none"/>
              </w:rPr>
            </w:pPr>
          </w:p>
        </w:tc>
        <w:tc>
          <w:tcPr>
            <w:tcW w:w="2581" w:type="dxa"/>
            <w:shd w:val="clear" w:color="auto" w:fill="auto"/>
            <w:vAlign w:val="bottom"/>
          </w:tcPr>
          <w:p>
            <w:pPr>
              <w:rPr>
                <w:rFonts w:hint="default" w:ascii="Arial" w:hAnsi="Arial" w:cs="Arial"/>
                <w:i w:val="0"/>
                <w:color w:val="000000"/>
                <w:sz w:val="20"/>
                <w:szCs w:val="20"/>
                <w:u w:val="none"/>
              </w:rPr>
            </w:pPr>
          </w:p>
        </w:tc>
        <w:tc>
          <w:tcPr>
            <w:tcW w:w="485" w:type="dxa"/>
            <w:shd w:val="clear" w:color="auto" w:fill="auto"/>
            <w:vAlign w:val="bottom"/>
          </w:tcPr>
          <w:p>
            <w:pPr>
              <w:rPr>
                <w:rFonts w:hint="default" w:ascii="Arial" w:hAnsi="Arial" w:cs="Arial"/>
                <w:i w:val="0"/>
                <w:color w:val="000000"/>
                <w:sz w:val="20"/>
                <w:szCs w:val="20"/>
                <w:u w:val="none"/>
              </w:rPr>
            </w:pPr>
          </w:p>
        </w:tc>
        <w:tc>
          <w:tcPr>
            <w:tcW w:w="1425" w:type="dxa"/>
            <w:shd w:val="clear" w:color="auto" w:fill="auto"/>
            <w:vAlign w:val="bottom"/>
          </w:tcPr>
          <w:p>
            <w:pPr>
              <w:rPr>
                <w:rFonts w:hint="default" w:ascii="Arial" w:hAnsi="Arial" w:cs="Arial"/>
                <w:i w:val="0"/>
                <w:color w:val="000000"/>
                <w:sz w:val="20"/>
                <w:szCs w:val="20"/>
                <w:u w:val="none"/>
              </w:rPr>
            </w:pPr>
          </w:p>
        </w:tc>
        <w:tc>
          <w:tcPr>
            <w:tcW w:w="1022" w:type="dxa"/>
            <w:shd w:val="clear" w:color="auto" w:fill="auto"/>
            <w:vAlign w:val="bottom"/>
          </w:tcPr>
          <w:p>
            <w:pPr>
              <w:rPr>
                <w:rFonts w:hint="default" w:ascii="Arial" w:hAnsi="Arial" w:cs="Arial"/>
                <w:i w:val="0"/>
                <w:color w:val="000000"/>
                <w:sz w:val="20"/>
                <w:szCs w:val="20"/>
                <w:u w:val="none"/>
              </w:rPr>
            </w:pPr>
          </w:p>
        </w:tc>
        <w:tc>
          <w:tcPr>
            <w:tcW w:w="130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73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485" w:type="dxa"/>
            <w:shd w:val="clear" w:color="auto" w:fill="auto"/>
            <w:vAlign w:val="bottom"/>
          </w:tcPr>
          <w:p>
            <w:pPr>
              <w:rPr>
                <w:rFonts w:hint="default" w:ascii="Arial" w:hAnsi="Arial" w:cs="Arial"/>
                <w:i w:val="0"/>
                <w:color w:val="000000"/>
                <w:sz w:val="20"/>
                <w:szCs w:val="20"/>
                <w:u w:val="none"/>
              </w:rPr>
            </w:pPr>
          </w:p>
        </w:tc>
        <w:tc>
          <w:tcPr>
            <w:tcW w:w="2744" w:type="dxa"/>
            <w:shd w:val="clear" w:color="auto" w:fill="auto"/>
            <w:vAlign w:val="bottom"/>
          </w:tcPr>
          <w:p>
            <w:pPr>
              <w:rPr>
                <w:rFonts w:hint="default" w:ascii="Arial" w:hAnsi="Arial" w:cs="Arial"/>
                <w:i w:val="0"/>
                <w:color w:val="000000"/>
                <w:sz w:val="20"/>
                <w:szCs w:val="20"/>
                <w:u w:val="none"/>
              </w:rPr>
            </w:pPr>
          </w:p>
        </w:tc>
        <w:tc>
          <w:tcPr>
            <w:tcW w:w="2581" w:type="dxa"/>
            <w:shd w:val="clear" w:color="auto" w:fill="auto"/>
            <w:vAlign w:val="bottom"/>
          </w:tcPr>
          <w:p>
            <w:pPr>
              <w:rPr>
                <w:rFonts w:hint="default" w:ascii="Arial" w:hAnsi="Arial" w:cs="Arial"/>
                <w:i w:val="0"/>
                <w:color w:val="000000"/>
                <w:sz w:val="20"/>
                <w:szCs w:val="20"/>
                <w:u w:val="none"/>
              </w:rPr>
            </w:pPr>
          </w:p>
        </w:tc>
        <w:tc>
          <w:tcPr>
            <w:tcW w:w="485" w:type="dxa"/>
            <w:shd w:val="clear" w:color="auto" w:fill="auto"/>
            <w:vAlign w:val="bottom"/>
          </w:tcPr>
          <w:p>
            <w:pPr>
              <w:rPr>
                <w:rFonts w:hint="default" w:ascii="Arial" w:hAnsi="Arial" w:cs="Arial"/>
                <w:i w:val="0"/>
                <w:color w:val="000000"/>
                <w:sz w:val="20"/>
                <w:szCs w:val="20"/>
                <w:u w:val="none"/>
              </w:rPr>
            </w:pPr>
          </w:p>
        </w:tc>
        <w:tc>
          <w:tcPr>
            <w:tcW w:w="1425" w:type="dxa"/>
            <w:shd w:val="clear" w:color="auto" w:fill="auto"/>
            <w:vAlign w:val="bottom"/>
          </w:tcPr>
          <w:p>
            <w:pPr>
              <w:rPr>
                <w:rFonts w:hint="default" w:ascii="Arial" w:hAnsi="Arial" w:cs="Arial"/>
                <w:i w:val="0"/>
                <w:color w:val="000000"/>
                <w:sz w:val="20"/>
                <w:szCs w:val="20"/>
                <w:u w:val="none"/>
              </w:rPr>
            </w:pPr>
          </w:p>
        </w:tc>
        <w:tc>
          <w:tcPr>
            <w:tcW w:w="1022" w:type="dxa"/>
            <w:shd w:val="clear" w:color="auto" w:fill="auto"/>
            <w:vAlign w:val="bottom"/>
          </w:tcPr>
          <w:p>
            <w:pPr>
              <w:rPr>
                <w:rFonts w:hint="default" w:ascii="Arial" w:hAnsi="Arial" w:cs="Arial"/>
                <w:i w:val="0"/>
                <w:color w:val="000000"/>
                <w:sz w:val="20"/>
                <w:szCs w:val="20"/>
                <w:u w:val="none"/>
              </w:rPr>
            </w:pPr>
          </w:p>
        </w:tc>
        <w:tc>
          <w:tcPr>
            <w:tcW w:w="130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59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6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项目（按功能分类）</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13,147.87</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13,147.87</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14,912.47</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14,912.47</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704.54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704.54</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2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15,617.01</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12780"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rPr>
          <w:rFonts w:hint="eastAsia" w:ascii="仿宋_GB2312" w:eastAsia="仿宋_GB2312"/>
          <w:snapToGrid w:val="0"/>
          <w:kern w:val="0"/>
          <w:szCs w:val="32"/>
        </w:rPr>
      </w:pPr>
      <w:r>
        <w:rPr>
          <w:rFonts w:hint="eastAsia" w:ascii="仿宋_GB2312" w:eastAsia="仿宋_GB2312"/>
          <w:snapToGrid w:val="0"/>
          <w:kern w:val="0"/>
          <w:szCs w:val="32"/>
        </w:rPr>
        <w:br w:type="page"/>
      </w:r>
    </w:p>
    <w:p>
      <w:pPr>
        <w:rPr>
          <w:rFonts w:hint="eastAsia" w:ascii="仿宋_GB2312" w:eastAsia="仿宋_GB2312"/>
          <w:snapToGrid w:val="0"/>
          <w:kern w:val="0"/>
          <w:szCs w:val="32"/>
        </w:rPr>
      </w:pPr>
      <w:r>
        <w:rPr>
          <w:rFonts w:hint="eastAsia" w:ascii="仿宋_GB2312" w:eastAsia="仿宋_GB2312"/>
          <w:snapToGrid w:val="0"/>
          <w:kern w:val="0"/>
          <w:szCs w:val="32"/>
        </w:rPr>
        <w:t>附件5：</w:t>
      </w:r>
    </w:p>
    <w:tbl>
      <w:tblPr>
        <w:tblStyle w:val="5"/>
        <w:tblW w:w="12720" w:type="dxa"/>
        <w:jc w:val="center"/>
        <w:tblInd w:w="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52"/>
        <w:gridCol w:w="952"/>
        <w:gridCol w:w="3117"/>
        <w:gridCol w:w="2429"/>
        <w:gridCol w:w="2027"/>
        <w:gridCol w:w="2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12720" w:type="dxa"/>
            <w:gridSpan w:val="7"/>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表五  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32" w:type="dxa"/>
            <w:shd w:val="clear" w:color="auto" w:fill="auto"/>
            <w:vAlign w:val="bottom"/>
          </w:tcPr>
          <w:p>
            <w:pPr>
              <w:rPr>
                <w:rFonts w:hint="eastAsia"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3117" w:type="dxa"/>
            <w:shd w:val="clear" w:color="auto" w:fill="auto"/>
            <w:vAlign w:val="bottom"/>
          </w:tcPr>
          <w:p>
            <w:pPr>
              <w:rPr>
                <w:rFonts w:hint="default" w:ascii="Arial" w:hAnsi="Arial" w:cs="Arial"/>
                <w:i w:val="0"/>
                <w:color w:val="000000"/>
                <w:sz w:val="20"/>
                <w:szCs w:val="20"/>
                <w:u w:val="none"/>
              </w:rPr>
            </w:pPr>
          </w:p>
        </w:tc>
        <w:tc>
          <w:tcPr>
            <w:tcW w:w="2429" w:type="dxa"/>
            <w:shd w:val="clear" w:color="auto" w:fill="auto"/>
            <w:vAlign w:val="bottom"/>
          </w:tcPr>
          <w:p>
            <w:pPr>
              <w:rPr>
                <w:rFonts w:hint="default" w:ascii="Arial" w:hAnsi="Arial" w:cs="Arial"/>
                <w:i w:val="0"/>
                <w:color w:val="000000"/>
                <w:sz w:val="20"/>
                <w:szCs w:val="20"/>
                <w:u w:val="none"/>
              </w:rPr>
            </w:pPr>
          </w:p>
        </w:tc>
        <w:tc>
          <w:tcPr>
            <w:tcW w:w="2027" w:type="dxa"/>
            <w:shd w:val="clear" w:color="auto" w:fill="auto"/>
            <w:vAlign w:val="bottom"/>
          </w:tcPr>
          <w:p>
            <w:pPr>
              <w:rPr>
                <w:rFonts w:hint="default" w:ascii="Arial" w:hAnsi="Arial" w:cs="Arial"/>
                <w:i w:val="0"/>
                <w:color w:val="000000"/>
                <w:sz w:val="20"/>
                <w:szCs w:val="20"/>
                <w:u w:val="none"/>
              </w:rPr>
            </w:pPr>
          </w:p>
        </w:tc>
        <w:tc>
          <w:tcPr>
            <w:tcW w:w="281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453"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2429" w:type="dxa"/>
            <w:shd w:val="clear" w:color="auto" w:fill="auto"/>
            <w:vAlign w:val="bottom"/>
          </w:tcPr>
          <w:p>
            <w:pPr>
              <w:rPr>
                <w:rFonts w:hint="default" w:ascii="Arial" w:hAnsi="Arial" w:cs="Arial"/>
                <w:i w:val="0"/>
                <w:color w:val="000000"/>
                <w:sz w:val="20"/>
                <w:szCs w:val="20"/>
                <w:u w:val="none"/>
              </w:rPr>
            </w:pPr>
          </w:p>
        </w:tc>
        <w:tc>
          <w:tcPr>
            <w:tcW w:w="2027" w:type="dxa"/>
            <w:shd w:val="clear" w:color="auto" w:fill="auto"/>
            <w:vAlign w:val="bottom"/>
          </w:tcPr>
          <w:p>
            <w:pPr>
              <w:rPr>
                <w:rFonts w:hint="default" w:ascii="Arial" w:hAnsi="Arial" w:cs="Arial"/>
                <w:i w:val="0"/>
                <w:color w:val="000000"/>
                <w:sz w:val="20"/>
                <w:szCs w:val="20"/>
                <w:u w:val="none"/>
              </w:rPr>
            </w:pPr>
          </w:p>
        </w:tc>
        <w:tc>
          <w:tcPr>
            <w:tcW w:w="281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54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基本支出  </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0" w:hRule="atLeast"/>
          <w:jc w:val="center"/>
        </w:trPr>
        <w:tc>
          <w:tcPr>
            <w:tcW w:w="23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23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4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4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14,912.47</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5,008.41</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13,147.88</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3,489.32</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9,658.56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2010499</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审计事务</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13,127.23</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3,489.32</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9,637.91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2,881.32</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2,881.32</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417.00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2010804</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7,198.75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2010805</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审计管理</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1,108.54</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2010806</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863.62</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2010850</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608.00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2010899</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其他审计事务支出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1,400.10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1,410.45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1,400.10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1,272.70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1,272.70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2080503</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离退休人员管理机构</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118.99</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338.99</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118.99</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218.48</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118.48</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2100599</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其他医疗保障支出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120.51</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0.51</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272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注：本表反映部门本年度一般公共预算财政拨款实际支出情况。</w:t>
            </w:r>
          </w:p>
        </w:tc>
      </w:tr>
    </w:tbl>
    <w:p>
      <w:pPr>
        <w:rPr>
          <w:rFonts w:hint="eastAsia" w:ascii="仿宋_GB2312" w:eastAsia="仿宋_GB2312"/>
          <w:snapToGrid w:val="0"/>
          <w:kern w:val="0"/>
          <w:szCs w:val="32"/>
        </w:rPr>
      </w:pPr>
      <w:r>
        <w:rPr>
          <w:rFonts w:hint="eastAsia" w:ascii="仿宋_GB2312" w:eastAsia="仿宋_GB2312"/>
          <w:snapToGrid w:val="0"/>
          <w:kern w:val="0"/>
          <w:szCs w:val="32"/>
        </w:rPr>
        <w:br w:type="page"/>
      </w:r>
    </w:p>
    <w:p>
      <w:pPr>
        <w:spacing w:line="560" w:lineRule="exact"/>
        <w:rPr>
          <w:rFonts w:hint="eastAsia" w:ascii="仿宋_GB2312" w:eastAsia="仿宋_GB2312"/>
          <w:snapToGrid w:val="0"/>
          <w:kern w:val="0"/>
          <w:szCs w:val="32"/>
        </w:rPr>
      </w:pPr>
      <w:r>
        <w:rPr>
          <w:rFonts w:hint="eastAsia" w:ascii="仿宋_GB2312" w:eastAsia="仿宋_GB2312"/>
          <w:snapToGrid w:val="0"/>
          <w:kern w:val="0"/>
          <w:szCs w:val="32"/>
        </w:rPr>
        <w:t>附件6：</w:t>
      </w:r>
    </w:p>
    <w:tbl>
      <w:tblPr>
        <w:tblStyle w:val="5"/>
        <w:tblW w:w="13620" w:type="dxa"/>
        <w:jc w:val="center"/>
        <w:tblInd w:w="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2610"/>
        <w:gridCol w:w="1530"/>
        <w:gridCol w:w="735"/>
        <w:gridCol w:w="1935"/>
        <w:gridCol w:w="1395"/>
        <w:gridCol w:w="735"/>
        <w:gridCol w:w="234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jc w:val="center"/>
        </w:trPr>
        <w:tc>
          <w:tcPr>
            <w:tcW w:w="13620"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表六  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35" w:type="dxa"/>
            <w:shd w:val="clear" w:color="auto" w:fill="auto"/>
            <w:vAlign w:val="bottom"/>
          </w:tcPr>
          <w:p>
            <w:pPr>
              <w:rPr>
                <w:rFonts w:hint="eastAsia" w:ascii="Arial" w:hAnsi="Arial" w:cs="Arial"/>
                <w:i w:val="0"/>
                <w:color w:val="000000"/>
                <w:sz w:val="20"/>
                <w:szCs w:val="20"/>
                <w:u w:val="none"/>
              </w:rPr>
            </w:pPr>
          </w:p>
        </w:tc>
        <w:tc>
          <w:tcPr>
            <w:tcW w:w="2610" w:type="dxa"/>
            <w:shd w:val="clear" w:color="auto" w:fill="auto"/>
            <w:vAlign w:val="bottom"/>
          </w:tcPr>
          <w:p>
            <w:pPr>
              <w:rPr>
                <w:rFonts w:hint="default" w:ascii="Arial" w:hAnsi="Arial" w:cs="Arial"/>
                <w:i w:val="0"/>
                <w:color w:val="000000"/>
                <w:sz w:val="20"/>
                <w:szCs w:val="20"/>
                <w:u w:val="none"/>
              </w:rPr>
            </w:pPr>
          </w:p>
        </w:tc>
        <w:tc>
          <w:tcPr>
            <w:tcW w:w="1530" w:type="dxa"/>
            <w:shd w:val="clear" w:color="auto" w:fill="auto"/>
            <w:vAlign w:val="bottom"/>
          </w:tcPr>
          <w:p>
            <w:pPr>
              <w:rPr>
                <w:rFonts w:hint="default" w:ascii="Arial" w:hAnsi="Arial" w:cs="Arial"/>
                <w:i w:val="0"/>
                <w:color w:val="000000"/>
                <w:sz w:val="20"/>
                <w:szCs w:val="20"/>
                <w:u w:val="none"/>
              </w:rPr>
            </w:pPr>
          </w:p>
        </w:tc>
        <w:tc>
          <w:tcPr>
            <w:tcW w:w="735" w:type="dxa"/>
            <w:shd w:val="clear" w:color="auto" w:fill="auto"/>
            <w:vAlign w:val="bottom"/>
          </w:tcPr>
          <w:p>
            <w:pPr>
              <w:rPr>
                <w:rFonts w:hint="default" w:ascii="Arial" w:hAnsi="Arial" w:cs="Arial"/>
                <w:i w:val="0"/>
                <w:color w:val="000000"/>
                <w:sz w:val="20"/>
                <w:szCs w:val="20"/>
                <w:u w:val="none"/>
              </w:rPr>
            </w:pPr>
          </w:p>
        </w:tc>
        <w:tc>
          <w:tcPr>
            <w:tcW w:w="1935"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735" w:type="dxa"/>
            <w:shd w:val="clear" w:color="auto" w:fill="auto"/>
            <w:vAlign w:val="bottom"/>
          </w:tcPr>
          <w:p>
            <w:pPr>
              <w:rPr>
                <w:rFonts w:hint="default" w:ascii="Arial" w:hAnsi="Arial" w:cs="Arial"/>
                <w:i w:val="0"/>
                <w:color w:val="000000"/>
                <w:sz w:val="20"/>
                <w:szCs w:val="20"/>
                <w:u w:val="none"/>
              </w:rPr>
            </w:pPr>
          </w:p>
        </w:tc>
        <w:tc>
          <w:tcPr>
            <w:tcW w:w="2340" w:type="dxa"/>
            <w:shd w:val="clear" w:color="auto" w:fill="auto"/>
            <w:vAlign w:val="bottom"/>
          </w:tcPr>
          <w:p>
            <w:pPr>
              <w:rPr>
                <w:rFonts w:hint="default" w:ascii="Arial" w:hAnsi="Arial" w:cs="Arial"/>
                <w:i w:val="0"/>
                <w:color w:val="000000"/>
                <w:sz w:val="20"/>
                <w:szCs w:val="20"/>
                <w:u w:val="none"/>
              </w:rPr>
            </w:pPr>
          </w:p>
        </w:tc>
        <w:tc>
          <w:tcPr>
            <w:tcW w:w="160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5" w:type="dxa"/>
            <w:gridSpan w:val="3"/>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735" w:type="dxa"/>
            <w:shd w:val="clear" w:color="auto" w:fill="auto"/>
            <w:vAlign w:val="bottom"/>
          </w:tcPr>
          <w:p>
            <w:pPr>
              <w:rPr>
                <w:rFonts w:hint="default" w:ascii="Arial" w:hAnsi="Arial" w:cs="Arial"/>
                <w:i w:val="0"/>
                <w:color w:val="000000"/>
                <w:sz w:val="20"/>
                <w:szCs w:val="20"/>
                <w:u w:val="none"/>
              </w:rPr>
            </w:pPr>
          </w:p>
        </w:tc>
        <w:tc>
          <w:tcPr>
            <w:tcW w:w="1935"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735" w:type="dxa"/>
            <w:shd w:val="clear" w:color="auto" w:fill="auto"/>
            <w:vAlign w:val="bottom"/>
          </w:tcPr>
          <w:p>
            <w:pPr>
              <w:rPr>
                <w:rFonts w:hint="default" w:ascii="Arial" w:hAnsi="Arial" w:cs="Arial"/>
                <w:i w:val="0"/>
                <w:color w:val="000000"/>
                <w:sz w:val="20"/>
                <w:szCs w:val="20"/>
                <w:u w:val="none"/>
              </w:rPr>
            </w:pPr>
          </w:p>
        </w:tc>
        <w:tc>
          <w:tcPr>
            <w:tcW w:w="2340" w:type="dxa"/>
            <w:shd w:val="clear" w:color="auto" w:fill="auto"/>
            <w:vAlign w:val="bottom"/>
          </w:tcPr>
          <w:p>
            <w:pPr>
              <w:rPr>
                <w:rFonts w:hint="default" w:ascii="Arial" w:hAnsi="Arial" w:cs="Arial"/>
                <w:i w:val="0"/>
                <w:color w:val="000000"/>
                <w:sz w:val="20"/>
                <w:szCs w:val="20"/>
                <w:u w:val="none"/>
              </w:rPr>
            </w:pPr>
          </w:p>
        </w:tc>
        <w:tc>
          <w:tcPr>
            <w:tcW w:w="160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4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7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2,273.31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539.17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其他资本性支出</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760.52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1,165.57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167.85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2,138.00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945.67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154.95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351.91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95.39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4,411.31</w:t>
            </w:r>
          </w:p>
        </w:tc>
        <w:tc>
          <w:tcPr>
            <w:tcW w:w="7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3620"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注：1.本表反应部门本年度一般公共预算财政拨款基本支出明细情况。</w:t>
            </w:r>
          </w:p>
        </w:tc>
      </w:tr>
    </w:tbl>
    <w:p>
      <w:pPr>
        <w:rPr>
          <w:rFonts w:hint="eastAsia" w:ascii="仿宋_GB2312" w:eastAsia="仿宋_GB2312"/>
          <w:snapToGrid w:val="0"/>
          <w:kern w:val="0"/>
          <w:szCs w:val="32"/>
        </w:rPr>
      </w:pPr>
      <w:r>
        <w:rPr>
          <w:rFonts w:hint="eastAsia" w:ascii="仿宋_GB2312" w:eastAsia="仿宋_GB2312"/>
          <w:snapToGrid w:val="0"/>
          <w:kern w:val="0"/>
          <w:szCs w:val="32"/>
        </w:rPr>
        <w:br w:type="page"/>
      </w:r>
    </w:p>
    <w:p>
      <w:pPr>
        <w:spacing w:line="560" w:lineRule="exact"/>
        <w:rPr>
          <w:rFonts w:hint="eastAsia" w:ascii="仿宋_GB2312" w:eastAsia="仿宋_GB2312"/>
          <w:snapToGrid w:val="0"/>
          <w:kern w:val="0"/>
          <w:szCs w:val="32"/>
        </w:rPr>
      </w:pPr>
      <w:r>
        <w:rPr>
          <w:rFonts w:hint="eastAsia" w:ascii="仿宋_GB2312" w:eastAsia="仿宋_GB2312"/>
          <w:snapToGrid w:val="0"/>
          <w:kern w:val="0"/>
          <w:szCs w:val="32"/>
        </w:rPr>
        <w:t>附件7：</w:t>
      </w:r>
    </w:p>
    <w:tbl>
      <w:tblPr>
        <w:tblStyle w:val="5"/>
        <w:tblW w:w="10364" w:type="dxa"/>
        <w:jc w:val="center"/>
        <w:tblInd w:w="14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90"/>
        <w:gridCol w:w="2460"/>
        <w:gridCol w:w="1178"/>
        <w:gridCol w:w="1435"/>
        <w:gridCol w:w="1091"/>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10364" w:type="dxa"/>
            <w:gridSpan w:val="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表七 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890" w:type="dxa"/>
            <w:shd w:val="clear" w:color="auto" w:fill="auto"/>
            <w:vAlign w:val="bottom"/>
          </w:tcPr>
          <w:p>
            <w:pPr>
              <w:rPr>
                <w:rFonts w:hint="eastAsia" w:ascii="Arial" w:hAnsi="Arial" w:cs="Arial"/>
                <w:i w:val="0"/>
                <w:color w:val="000000"/>
                <w:sz w:val="20"/>
                <w:szCs w:val="20"/>
                <w:u w:val="none"/>
              </w:rPr>
            </w:pPr>
          </w:p>
        </w:tc>
        <w:tc>
          <w:tcPr>
            <w:tcW w:w="2460" w:type="dxa"/>
            <w:shd w:val="clear" w:color="auto" w:fill="auto"/>
            <w:vAlign w:val="bottom"/>
          </w:tcPr>
          <w:p>
            <w:pPr>
              <w:rPr>
                <w:rFonts w:hint="default" w:ascii="Arial" w:hAnsi="Arial" w:cs="Arial"/>
                <w:i w:val="0"/>
                <w:color w:val="000000"/>
                <w:sz w:val="20"/>
                <w:szCs w:val="20"/>
                <w:u w:val="none"/>
              </w:rPr>
            </w:pPr>
          </w:p>
        </w:tc>
        <w:tc>
          <w:tcPr>
            <w:tcW w:w="1178" w:type="dxa"/>
            <w:shd w:val="clear" w:color="auto" w:fill="auto"/>
            <w:vAlign w:val="bottom"/>
          </w:tcPr>
          <w:p>
            <w:pPr>
              <w:rPr>
                <w:rFonts w:hint="default" w:ascii="Arial" w:hAnsi="Arial" w:cs="Arial"/>
                <w:i w:val="0"/>
                <w:color w:val="000000"/>
                <w:sz w:val="20"/>
                <w:szCs w:val="20"/>
                <w:u w:val="none"/>
              </w:rPr>
            </w:pPr>
          </w:p>
        </w:tc>
        <w:tc>
          <w:tcPr>
            <w:tcW w:w="1435" w:type="dxa"/>
            <w:shd w:val="clear" w:color="auto" w:fill="auto"/>
            <w:vAlign w:val="bottom"/>
          </w:tcPr>
          <w:p>
            <w:pPr>
              <w:rPr>
                <w:rFonts w:hint="default" w:ascii="Arial" w:hAnsi="Arial" w:cs="Arial"/>
                <w:i w:val="0"/>
                <w:color w:val="000000"/>
                <w:sz w:val="20"/>
                <w:szCs w:val="20"/>
                <w:u w:val="none"/>
              </w:rPr>
            </w:pPr>
          </w:p>
        </w:tc>
        <w:tc>
          <w:tcPr>
            <w:tcW w:w="1091" w:type="dxa"/>
            <w:shd w:val="clear" w:color="auto" w:fill="auto"/>
            <w:vAlign w:val="bottom"/>
          </w:tcPr>
          <w:p>
            <w:pPr>
              <w:rPr>
                <w:rFonts w:hint="default" w:ascii="Arial" w:hAnsi="Arial" w:cs="Arial"/>
                <w:i w:val="0"/>
                <w:color w:val="000000"/>
                <w:sz w:val="20"/>
                <w:szCs w:val="20"/>
                <w:u w:val="none"/>
              </w:rPr>
            </w:pPr>
          </w:p>
        </w:tc>
        <w:tc>
          <w:tcPr>
            <w:tcW w:w="231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89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2460" w:type="dxa"/>
            <w:shd w:val="clear" w:color="auto" w:fill="auto"/>
            <w:vAlign w:val="bottom"/>
          </w:tcPr>
          <w:p>
            <w:pPr>
              <w:rPr>
                <w:rFonts w:hint="default" w:ascii="Arial" w:hAnsi="Arial" w:cs="Arial"/>
                <w:i w:val="0"/>
                <w:color w:val="000000"/>
                <w:sz w:val="20"/>
                <w:szCs w:val="20"/>
                <w:u w:val="none"/>
              </w:rPr>
            </w:pPr>
          </w:p>
        </w:tc>
        <w:tc>
          <w:tcPr>
            <w:tcW w:w="1178" w:type="dxa"/>
            <w:shd w:val="clear" w:color="auto" w:fill="auto"/>
            <w:vAlign w:val="bottom"/>
          </w:tcPr>
          <w:p>
            <w:pPr>
              <w:rPr>
                <w:rFonts w:hint="default" w:ascii="Arial" w:hAnsi="Arial" w:cs="Arial"/>
                <w:i w:val="0"/>
                <w:color w:val="000000"/>
                <w:sz w:val="20"/>
                <w:szCs w:val="20"/>
                <w:u w:val="none"/>
              </w:rPr>
            </w:pPr>
          </w:p>
        </w:tc>
        <w:tc>
          <w:tcPr>
            <w:tcW w:w="1435" w:type="dxa"/>
            <w:shd w:val="clear" w:color="auto" w:fill="auto"/>
            <w:vAlign w:val="bottom"/>
          </w:tcPr>
          <w:p>
            <w:pPr>
              <w:rPr>
                <w:rFonts w:hint="default" w:ascii="Arial" w:hAnsi="Arial" w:cs="Arial"/>
                <w:i w:val="0"/>
                <w:color w:val="000000"/>
                <w:sz w:val="20"/>
                <w:szCs w:val="20"/>
                <w:u w:val="none"/>
              </w:rPr>
            </w:pPr>
          </w:p>
        </w:tc>
        <w:tc>
          <w:tcPr>
            <w:tcW w:w="1091" w:type="dxa"/>
            <w:shd w:val="clear" w:color="auto" w:fill="auto"/>
            <w:vAlign w:val="bottom"/>
          </w:tcPr>
          <w:p>
            <w:pPr>
              <w:rPr>
                <w:rFonts w:hint="default" w:ascii="Arial" w:hAnsi="Arial" w:cs="Arial"/>
                <w:i w:val="0"/>
                <w:color w:val="000000"/>
                <w:sz w:val="20"/>
                <w:szCs w:val="20"/>
                <w:u w:val="none"/>
              </w:rPr>
            </w:pPr>
          </w:p>
        </w:tc>
        <w:tc>
          <w:tcPr>
            <w:tcW w:w="231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103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jc w:val="center"/>
        </w:trPr>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jc w:val="center"/>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运行费</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38.36</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jc w:val="center"/>
        </w:trPr>
        <w:tc>
          <w:tcPr>
            <w:tcW w:w="10364"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注：此表财政拨款包括一般公共预算财政拨款和政府性基金预算财政拨款，2016年度“三公”经费决算数包括当年财政拨款和以前年度结转资金安排的实际支出。</w:t>
            </w:r>
          </w:p>
        </w:tc>
      </w:tr>
    </w:tbl>
    <w:p>
      <w:pPr>
        <w:rPr>
          <w:rFonts w:hint="eastAsia" w:ascii="仿宋_GB2312" w:eastAsia="仿宋_GB2312"/>
          <w:snapToGrid w:val="0"/>
          <w:kern w:val="0"/>
          <w:szCs w:val="32"/>
        </w:rPr>
      </w:pPr>
      <w:r>
        <w:rPr>
          <w:rFonts w:hint="eastAsia" w:ascii="仿宋_GB2312" w:eastAsia="仿宋_GB2312"/>
          <w:snapToGrid w:val="0"/>
          <w:kern w:val="0"/>
          <w:szCs w:val="32"/>
        </w:rPr>
        <w:br w:type="page"/>
      </w:r>
    </w:p>
    <w:p>
      <w:pPr>
        <w:spacing w:line="560" w:lineRule="exact"/>
        <w:rPr>
          <w:rFonts w:hint="eastAsia" w:ascii="仿宋_GB2312" w:eastAsia="仿宋_GB2312"/>
          <w:snapToGrid w:val="0"/>
          <w:kern w:val="0"/>
          <w:szCs w:val="32"/>
        </w:rPr>
      </w:pPr>
      <w:r>
        <w:rPr>
          <w:rFonts w:hint="eastAsia" w:ascii="仿宋_GB2312" w:eastAsia="仿宋_GB2312"/>
          <w:snapToGrid w:val="0"/>
          <w:kern w:val="0"/>
          <w:szCs w:val="32"/>
        </w:rPr>
        <w:t>附件8：</w:t>
      </w:r>
    </w:p>
    <w:tbl>
      <w:tblPr>
        <w:tblStyle w:val="5"/>
        <w:tblW w:w="11295" w:type="dxa"/>
        <w:jc w:val="center"/>
        <w:tblInd w:w="13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50"/>
        <w:gridCol w:w="1202"/>
        <w:gridCol w:w="2287"/>
        <w:gridCol w:w="1664"/>
        <w:gridCol w:w="952"/>
        <w:gridCol w:w="952"/>
        <w:gridCol w:w="952"/>
        <w:gridCol w:w="952"/>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11295"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表八 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32" w:type="dxa"/>
            <w:shd w:val="clear" w:color="auto" w:fill="auto"/>
            <w:vAlign w:val="bottom"/>
          </w:tcPr>
          <w:p>
            <w:pPr>
              <w:rPr>
                <w:rFonts w:hint="eastAsia" w:ascii="Arial" w:hAnsi="Arial" w:cs="Arial"/>
                <w:i w:val="0"/>
                <w:color w:val="000000"/>
                <w:sz w:val="20"/>
                <w:szCs w:val="20"/>
                <w:u w:val="none"/>
              </w:rPr>
            </w:pPr>
          </w:p>
        </w:tc>
        <w:tc>
          <w:tcPr>
            <w:tcW w:w="950" w:type="dxa"/>
            <w:shd w:val="clear" w:color="auto" w:fill="auto"/>
            <w:vAlign w:val="bottom"/>
          </w:tcPr>
          <w:p>
            <w:pPr>
              <w:rPr>
                <w:rFonts w:hint="default" w:ascii="Arial" w:hAnsi="Arial" w:cs="Arial"/>
                <w:i w:val="0"/>
                <w:color w:val="000000"/>
                <w:sz w:val="20"/>
                <w:szCs w:val="20"/>
                <w:u w:val="none"/>
              </w:rPr>
            </w:pPr>
          </w:p>
        </w:tc>
        <w:tc>
          <w:tcPr>
            <w:tcW w:w="1202" w:type="dxa"/>
            <w:shd w:val="clear" w:color="auto" w:fill="auto"/>
            <w:vAlign w:val="bottom"/>
          </w:tcPr>
          <w:p>
            <w:pPr>
              <w:rPr>
                <w:rFonts w:hint="default" w:ascii="Arial" w:hAnsi="Arial" w:cs="Arial"/>
                <w:i w:val="0"/>
                <w:color w:val="000000"/>
                <w:sz w:val="20"/>
                <w:szCs w:val="20"/>
                <w:u w:val="none"/>
              </w:rPr>
            </w:pPr>
          </w:p>
        </w:tc>
        <w:tc>
          <w:tcPr>
            <w:tcW w:w="2287" w:type="dxa"/>
            <w:shd w:val="clear" w:color="auto" w:fill="auto"/>
            <w:vAlign w:val="bottom"/>
          </w:tcPr>
          <w:p>
            <w:pPr>
              <w:rPr>
                <w:rFonts w:hint="default" w:ascii="Arial" w:hAnsi="Arial" w:cs="Arial"/>
                <w:i w:val="0"/>
                <w:color w:val="000000"/>
                <w:sz w:val="20"/>
                <w:szCs w:val="20"/>
                <w:u w:val="none"/>
              </w:rPr>
            </w:pPr>
          </w:p>
        </w:tc>
        <w:tc>
          <w:tcPr>
            <w:tcW w:w="1664"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1"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部门：湖北省审计厅</w:t>
            </w:r>
          </w:p>
        </w:tc>
        <w:tc>
          <w:tcPr>
            <w:tcW w:w="1664"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rPr>
                <w:rFonts w:hint="default" w:ascii="Arial" w:hAnsi="Arial" w:cs="Arial"/>
                <w:i w:val="0"/>
                <w:color w:val="000000"/>
                <w:sz w:val="20"/>
                <w:szCs w:val="20"/>
                <w:u w:val="none"/>
              </w:rPr>
            </w:pPr>
          </w:p>
        </w:tc>
        <w:tc>
          <w:tcPr>
            <w:tcW w:w="95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5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5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25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2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1295"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rPr>
          <w:rFonts w:hint="eastAsia" w:ascii="仿宋_GB2312" w:eastAsia="仿宋_GB2312"/>
          <w:snapToGrid w:val="0"/>
          <w:kern w:val="0"/>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ascii="仿宋_GB2312" w:eastAsia="仿宋_GB2312"/>
        <w:sz w:val="28"/>
        <w:szCs w:val="28"/>
      </w:rPr>
    </w:pPr>
    <w:r>
      <w:rPr>
        <w:rStyle w:val="4"/>
        <w:rFonts w:hint="eastAsia" w:ascii="仿宋_GB2312" w:eastAsia="仿宋_GB2312"/>
        <w:sz w:val="28"/>
        <w:szCs w:val="28"/>
      </w:rPr>
      <w:t>－</w:t>
    </w:r>
    <w:r>
      <w:rPr>
        <w:rFonts w:hint="eastAsia" w:ascii="仿宋_GB2312" w:eastAsia="仿宋_GB2312"/>
        <w:sz w:val="28"/>
        <w:szCs w:val="28"/>
      </w:rPr>
      <w:fldChar w:fldCharType="begin"/>
    </w:r>
    <w:r>
      <w:rPr>
        <w:rStyle w:val="4"/>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4"/>
        <w:rFonts w:ascii="仿宋_GB2312" w:eastAsia="仿宋_GB2312"/>
        <w:sz w:val="28"/>
        <w:szCs w:val="28"/>
      </w:rPr>
      <w:t>2</w:t>
    </w:r>
    <w:r>
      <w:rPr>
        <w:rFonts w:hint="eastAsia" w:ascii="仿宋_GB2312" w:eastAsia="仿宋_GB2312"/>
        <w:sz w:val="28"/>
        <w:szCs w:val="28"/>
      </w:rPr>
      <w:fldChar w:fldCharType="end"/>
    </w:r>
    <w:r>
      <w:rPr>
        <w:rStyle w:val="4"/>
        <w:rFonts w:hint="eastAsia" w:ascii="仿宋_GB2312" w:eastAsia="仿宋_GB2312"/>
        <w:sz w:val="28"/>
        <w:szCs w:val="28"/>
      </w:rPr>
      <w:t>－</w:t>
    </w:r>
  </w:p>
  <w:p>
    <w:pPr>
      <w:pStyle w:val="2"/>
      <w:framePr w:wrap="around" w:vAnchor="text" w:hAnchor="margin" w:xAlign="center" w:y="1"/>
      <w:rPr>
        <w:rStyle w:val="4"/>
        <w:rFonts w:hint="eastAsia" w:ascii="仿宋_GB2312" w:eastAsia="仿宋_GB2312"/>
        <w:sz w:val="28"/>
        <w:szCs w:val="28"/>
      </w:rPr>
    </w:pP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715F"/>
    <w:multiLevelType w:val="singleLevel"/>
    <w:tmpl w:val="5A38715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6D4E"/>
    <w:rsid w:val="01C83C3A"/>
    <w:rsid w:val="086B00D5"/>
    <w:rsid w:val="08F33AD3"/>
    <w:rsid w:val="09356D56"/>
    <w:rsid w:val="0C8A1382"/>
    <w:rsid w:val="154E5C29"/>
    <w:rsid w:val="24365678"/>
    <w:rsid w:val="2B8B1AE0"/>
    <w:rsid w:val="348250FC"/>
    <w:rsid w:val="37F15C37"/>
    <w:rsid w:val="3D972AC8"/>
    <w:rsid w:val="3FD84639"/>
    <w:rsid w:val="4128325C"/>
    <w:rsid w:val="44406D4E"/>
    <w:rsid w:val="501629BC"/>
    <w:rsid w:val="5AB3353E"/>
    <w:rsid w:val="604818E6"/>
    <w:rsid w:val="62F96C50"/>
    <w:rsid w:val="64D80A00"/>
    <w:rsid w:val="6CA0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2017-09-05T08:19:00Z</dcterms:created>
  <dc:creator>罗威</dc:creator>
  <cp:lastModifiedBy>L450</cp:lastModifiedBy>
  <cp:lastPrinted>2017-12-19T04:36:00Z</cp:lastPrinted>
  <dcterms:modified xsi:type="dcterms:W3CDTF">2017-12-19T06:20:07Z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